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58" w:rsidRDefault="00A63958">
      <w:pPr>
        <w:pStyle w:val="ConsPlusTitlePage"/>
      </w:pPr>
      <w:r>
        <w:t xml:space="preserve">Документ предоставлен </w:t>
      </w:r>
      <w:hyperlink r:id="rId4" w:history="1">
        <w:r>
          <w:rPr>
            <w:color w:val="0000FF"/>
          </w:rPr>
          <w:t>КонсультантПлюс</w:t>
        </w:r>
      </w:hyperlink>
      <w:r>
        <w:br/>
      </w:r>
    </w:p>
    <w:p w:rsidR="00A63958" w:rsidRDefault="00A63958">
      <w:pPr>
        <w:pStyle w:val="ConsPlusNormal"/>
        <w:jc w:val="both"/>
        <w:outlineLvl w:val="0"/>
      </w:pPr>
    </w:p>
    <w:p w:rsidR="00A63958" w:rsidRDefault="00A63958">
      <w:pPr>
        <w:pStyle w:val="ConsPlusTitle"/>
        <w:jc w:val="center"/>
        <w:outlineLvl w:val="0"/>
      </w:pPr>
      <w:r>
        <w:t>ПРАВИТЕЛЬСТВО САХАЛИНСКОЙ ОБЛАСТИ</w:t>
      </w:r>
    </w:p>
    <w:p w:rsidR="00A63958" w:rsidRDefault="00A63958">
      <w:pPr>
        <w:pStyle w:val="ConsPlusTitle"/>
        <w:jc w:val="center"/>
      </w:pPr>
    </w:p>
    <w:p w:rsidR="00A63958" w:rsidRDefault="00A63958">
      <w:pPr>
        <w:pStyle w:val="ConsPlusTitle"/>
        <w:jc w:val="center"/>
      </w:pPr>
      <w:r>
        <w:t>ПОСТАНОВЛЕНИЕ</w:t>
      </w:r>
    </w:p>
    <w:p w:rsidR="00A63958" w:rsidRDefault="00A63958">
      <w:pPr>
        <w:pStyle w:val="ConsPlusTitle"/>
        <w:jc w:val="center"/>
      </w:pPr>
      <w:r>
        <w:t>от 31 марта 2015 г. N 84</w:t>
      </w:r>
    </w:p>
    <w:p w:rsidR="00A63958" w:rsidRDefault="00A63958">
      <w:pPr>
        <w:pStyle w:val="ConsPlusTitle"/>
        <w:jc w:val="center"/>
      </w:pPr>
    </w:p>
    <w:p w:rsidR="00A63958" w:rsidRDefault="00A63958">
      <w:pPr>
        <w:pStyle w:val="ConsPlusTitle"/>
        <w:jc w:val="center"/>
      </w:pPr>
      <w:r>
        <w:t>ОБ УТВЕРЖДЕНИИ ПОРЯДКА</w:t>
      </w:r>
    </w:p>
    <w:p w:rsidR="00A63958" w:rsidRDefault="00A63958">
      <w:pPr>
        <w:pStyle w:val="ConsPlusTitle"/>
        <w:jc w:val="center"/>
      </w:pPr>
      <w:r>
        <w:t xml:space="preserve">ПРИНЯТИЯ РЕШЕНИЯ О </w:t>
      </w:r>
      <w:proofErr w:type="gramStart"/>
      <w:r>
        <w:t>ПРОВЕДЕНИИ</w:t>
      </w:r>
      <w:proofErr w:type="gramEnd"/>
      <w:r>
        <w:t xml:space="preserve"> АУДИТА</w:t>
      </w:r>
    </w:p>
    <w:p w:rsidR="00A63958" w:rsidRDefault="00A63958">
      <w:pPr>
        <w:pStyle w:val="ConsPlusTitle"/>
        <w:jc w:val="center"/>
      </w:pPr>
      <w:r>
        <w:t>ГОДОВОЙ БУХГАЛТЕРСКОЙ (ФИНАНСОВОЙ) ОТЧЕТНОСТИ,</w:t>
      </w:r>
    </w:p>
    <w:p w:rsidR="00A63958" w:rsidRDefault="00A63958">
      <w:pPr>
        <w:pStyle w:val="ConsPlusTitle"/>
        <w:jc w:val="center"/>
      </w:pPr>
      <w:r>
        <w:t>УТВЕРЖДЕНИЯ ДОГОВОРА С АУДИТОРСКОЙ ОРГАНИЗАЦИЕЙ,</w:t>
      </w:r>
    </w:p>
    <w:p w:rsidR="00A63958" w:rsidRDefault="00A63958">
      <w:pPr>
        <w:pStyle w:val="ConsPlusTitle"/>
        <w:jc w:val="center"/>
      </w:pPr>
      <w:r>
        <w:t>ПОРЯДОК И СРОКИ РАЗМЕЩЕНИЯ ГОДОВОГО ОТЧЕТА</w:t>
      </w:r>
    </w:p>
    <w:p w:rsidR="00A63958" w:rsidRDefault="00A63958">
      <w:pPr>
        <w:pStyle w:val="ConsPlusTitle"/>
        <w:jc w:val="center"/>
      </w:pPr>
      <w:r>
        <w:t>РЕГИОНАЛЬНОГО ОПЕРАТОРА И АУДИТОРСКОГО ЗАКЛЮЧЕНИЯ</w:t>
      </w:r>
    </w:p>
    <w:p w:rsidR="00A63958" w:rsidRDefault="00A63958">
      <w:pPr>
        <w:pStyle w:val="ConsPlusTitle"/>
        <w:jc w:val="center"/>
      </w:pPr>
      <w:r>
        <w:t>В ИНФОРМАЦИОННО-ТЕЛЕКОММУНИКАЦИОННОЙ СЕТИ ИНТЕРНЕТ</w:t>
      </w:r>
    </w:p>
    <w:p w:rsidR="00A63958" w:rsidRDefault="00A63958">
      <w:pPr>
        <w:pStyle w:val="ConsPlusNormal"/>
        <w:ind w:firstLine="540"/>
        <w:jc w:val="both"/>
      </w:pPr>
    </w:p>
    <w:p w:rsidR="00A63958" w:rsidRDefault="00A63958">
      <w:pPr>
        <w:pStyle w:val="ConsPlusNormal"/>
        <w:ind w:firstLine="540"/>
        <w:jc w:val="both"/>
      </w:pPr>
      <w:r>
        <w:t xml:space="preserve">В соответствии со </w:t>
      </w:r>
      <w:hyperlink r:id="rId5" w:history="1">
        <w:r>
          <w:rPr>
            <w:color w:val="0000FF"/>
          </w:rPr>
          <w:t>статьей 187</w:t>
        </w:r>
      </w:hyperlink>
      <w:r>
        <w:t xml:space="preserve"> Жилищного </w:t>
      </w:r>
      <w:hyperlink r:id="rId6" w:history="1">
        <w:r>
          <w:rPr>
            <w:color w:val="0000FF"/>
          </w:rPr>
          <w:t>кодекса</w:t>
        </w:r>
      </w:hyperlink>
      <w:r>
        <w:t xml:space="preserve"> Российской Федерации, </w:t>
      </w:r>
      <w:hyperlink r:id="rId7" w:history="1">
        <w:r>
          <w:rPr>
            <w:color w:val="0000FF"/>
          </w:rPr>
          <w:t>частью 12 статьи 3</w:t>
        </w:r>
      </w:hyperlink>
      <w:r>
        <w:t xml:space="preserve"> Закона Сахалинской области от 15.07.2013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Правительство Сахалинской области постановляет:</w:t>
      </w:r>
    </w:p>
    <w:p w:rsidR="00A63958" w:rsidRDefault="00A63958">
      <w:pPr>
        <w:pStyle w:val="ConsPlusNormal"/>
        <w:ind w:firstLine="540"/>
        <w:jc w:val="both"/>
      </w:pPr>
    </w:p>
    <w:p w:rsidR="00A63958" w:rsidRDefault="00A63958">
      <w:pPr>
        <w:pStyle w:val="ConsPlusNormal"/>
        <w:ind w:firstLine="540"/>
        <w:jc w:val="both"/>
      </w:pPr>
      <w:r>
        <w:t xml:space="preserve">1. Утвердить </w:t>
      </w:r>
      <w:hyperlink w:anchor="P33" w:history="1">
        <w:r>
          <w:rPr>
            <w:color w:val="0000FF"/>
          </w:rPr>
          <w:t>Порядок</w:t>
        </w:r>
      </w:hyperlink>
      <w:r>
        <w:t xml:space="preserve"> принятия решения о проведен</w:t>
      </w:r>
      <w:proofErr w:type="gramStart"/>
      <w:r>
        <w:t>ии ау</w:t>
      </w:r>
      <w:proofErr w:type="gramEnd"/>
      <w:r>
        <w:t>дита годовой бухгалтерской (финансовой) отчетности, утверждения договора с аудиторской организацией, порядок и сроки размещения годового отчета регионального оператора и аудиторского заключения в информационно-телекоммуникационной сети Интернет (прилагается).</w:t>
      </w:r>
    </w:p>
    <w:p w:rsidR="00A63958" w:rsidRDefault="00A63958">
      <w:pPr>
        <w:pStyle w:val="ConsPlusNormal"/>
        <w:spacing w:before="220"/>
        <w:ind w:firstLine="540"/>
        <w:jc w:val="both"/>
      </w:pPr>
      <w:r>
        <w:t>2. Опубликовать настоящее постановление в газете "Губернские ведомости" и разместить на официальном сайте Губернатора и Правительства Сахалинской области.</w:t>
      </w:r>
    </w:p>
    <w:p w:rsidR="00A63958" w:rsidRDefault="00A63958">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председателя Правительства Сахалинской области С.Г.Шередекина.</w:t>
      </w:r>
    </w:p>
    <w:p w:rsidR="00A63958" w:rsidRDefault="00A63958">
      <w:pPr>
        <w:pStyle w:val="ConsPlusNormal"/>
        <w:ind w:firstLine="540"/>
        <w:jc w:val="both"/>
      </w:pPr>
    </w:p>
    <w:p w:rsidR="00A63958" w:rsidRDefault="00A63958">
      <w:pPr>
        <w:pStyle w:val="ConsPlusNormal"/>
        <w:jc w:val="right"/>
      </w:pPr>
      <w:r>
        <w:t xml:space="preserve">Временно </w:t>
      </w:r>
      <w:proofErr w:type="gramStart"/>
      <w:r>
        <w:t>исполняющий</w:t>
      </w:r>
      <w:proofErr w:type="gramEnd"/>
      <w:r>
        <w:t xml:space="preserve"> обязанности</w:t>
      </w:r>
    </w:p>
    <w:p w:rsidR="00A63958" w:rsidRDefault="00A63958">
      <w:pPr>
        <w:pStyle w:val="ConsPlusNormal"/>
        <w:jc w:val="right"/>
      </w:pPr>
      <w:r>
        <w:t>Губернатора Сахалинской области</w:t>
      </w:r>
    </w:p>
    <w:p w:rsidR="00A63958" w:rsidRDefault="00A63958">
      <w:pPr>
        <w:pStyle w:val="ConsPlusNormal"/>
        <w:jc w:val="right"/>
      </w:pPr>
      <w:r>
        <w:t>О.Н.Кожемяко</w:t>
      </w:r>
    </w:p>
    <w:p w:rsidR="00A63958" w:rsidRDefault="00A63958">
      <w:pPr>
        <w:pStyle w:val="ConsPlusNormal"/>
        <w:ind w:firstLine="540"/>
        <w:jc w:val="both"/>
      </w:pPr>
    </w:p>
    <w:p w:rsidR="00A63958" w:rsidRDefault="00A63958">
      <w:pPr>
        <w:pStyle w:val="ConsPlusNormal"/>
        <w:ind w:firstLine="540"/>
        <w:jc w:val="both"/>
      </w:pPr>
    </w:p>
    <w:p w:rsidR="00A63958" w:rsidRDefault="00A63958">
      <w:pPr>
        <w:pStyle w:val="ConsPlusNormal"/>
        <w:ind w:firstLine="540"/>
        <w:jc w:val="both"/>
      </w:pPr>
    </w:p>
    <w:p w:rsidR="00A63958" w:rsidRDefault="00A63958">
      <w:pPr>
        <w:pStyle w:val="ConsPlusNormal"/>
        <w:ind w:firstLine="540"/>
        <w:jc w:val="both"/>
      </w:pPr>
    </w:p>
    <w:p w:rsidR="00A63958" w:rsidRDefault="00A63958">
      <w:pPr>
        <w:pStyle w:val="ConsPlusNormal"/>
        <w:ind w:firstLine="540"/>
        <w:jc w:val="both"/>
      </w:pPr>
    </w:p>
    <w:p w:rsidR="00A63958" w:rsidRDefault="00A63958">
      <w:pPr>
        <w:pStyle w:val="ConsPlusNormal"/>
        <w:jc w:val="right"/>
        <w:outlineLvl w:val="0"/>
      </w:pPr>
      <w:r>
        <w:t>Утвержден</w:t>
      </w:r>
    </w:p>
    <w:p w:rsidR="00A63958" w:rsidRDefault="00A63958">
      <w:pPr>
        <w:pStyle w:val="ConsPlusNormal"/>
        <w:jc w:val="right"/>
      </w:pPr>
      <w:r>
        <w:t>постановлением</w:t>
      </w:r>
    </w:p>
    <w:p w:rsidR="00A63958" w:rsidRDefault="00A63958">
      <w:pPr>
        <w:pStyle w:val="ConsPlusNormal"/>
        <w:jc w:val="right"/>
      </w:pPr>
      <w:r>
        <w:t>Правительства Сахалинской области</w:t>
      </w:r>
    </w:p>
    <w:p w:rsidR="00A63958" w:rsidRDefault="00A63958">
      <w:pPr>
        <w:pStyle w:val="ConsPlusNormal"/>
        <w:jc w:val="right"/>
      </w:pPr>
      <w:r>
        <w:t>от 31.03.2015 N 84</w:t>
      </w:r>
    </w:p>
    <w:p w:rsidR="00A63958" w:rsidRDefault="00A63958">
      <w:pPr>
        <w:pStyle w:val="ConsPlusNormal"/>
        <w:ind w:firstLine="540"/>
        <w:jc w:val="both"/>
      </w:pPr>
    </w:p>
    <w:p w:rsidR="00A63958" w:rsidRDefault="00A63958">
      <w:pPr>
        <w:pStyle w:val="ConsPlusTitle"/>
        <w:jc w:val="center"/>
      </w:pPr>
      <w:bookmarkStart w:id="0" w:name="P33"/>
      <w:bookmarkEnd w:id="0"/>
      <w:r>
        <w:t>ПОРЯДОК</w:t>
      </w:r>
    </w:p>
    <w:p w:rsidR="00A63958" w:rsidRDefault="00A63958">
      <w:pPr>
        <w:pStyle w:val="ConsPlusTitle"/>
        <w:jc w:val="center"/>
      </w:pPr>
      <w:r>
        <w:t xml:space="preserve">ПРИНЯТИЯ РЕШЕНИЯ О </w:t>
      </w:r>
      <w:proofErr w:type="gramStart"/>
      <w:r>
        <w:t>ПРОВЕДЕНИИ</w:t>
      </w:r>
      <w:proofErr w:type="gramEnd"/>
      <w:r>
        <w:t xml:space="preserve"> АУДИТА</w:t>
      </w:r>
    </w:p>
    <w:p w:rsidR="00A63958" w:rsidRDefault="00A63958">
      <w:pPr>
        <w:pStyle w:val="ConsPlusTitle"/>
        <w:jc w:val="center"/>
      </w:pPr>
      <w:r>
        <w:t>ГОДОВОЙ БУХГАЛТЕРСКОЙ (ФИНАНСОВОЙ) ОТЧЕТНОСТИ,</w:t>
      </w:r>
    </w:p>
    <w:p w:rsidR="00A63958" w:rsidRDefault="00A63958">
      <w:pPr>
        <w:pStyle w:val="ConsPlusTitle"/>
        <w:jc w:val="center"/>
      </w:pPr>
      <w:r>
        <w:t>УТВЕРЖДЕНИЯ ДОГОВОРА С АУДИТОРСКОЙ ОРГАНИЗАЦИЕЙ,</w:t>
      </w:r>
    </w:p>
    <w:p w:rsidR="00A63958" w:rsidRDefault="00A63958">
      <w:pPr>
        <w:pStyle w:val="ConsPlusTitle"/>
        <w:jc w:val="center"/>
      </w:pPr>
      <w:r>
        <w:t>ПОРЯДОК И СРОКИ РАЗМЕЩЕНИЯ ГОДОВОГО ОТЧЕТА</w:t>
      </w:r>
    </w:p>
    <w:p w:rsidR="00A63958" w:rsidRDefault="00A63958">
      <w:pPr>
        <w:pStyle w:val="ConsPlusTitle"/>
        <w:jc w:val="center"/>
      </w:pPr>
      <w:r>
        <w:t>РЕГИОНАЛЬНОГО ОПЕРАТОРА И АУДИТОРСКОГО ЗАКЛЮЧЕНИЯ</w:t>
      </w:r>
    </w:p>
    <w:p w:rsidR="00A63958" w:rsidRDefault="00A63958">
      <w:pPr>
        <w:pStyle w:val="ConsPlusTitle"/>
        <w:jc w:val="center"/>
      </w:pPr>
      <w:r>
        <w:t>В ИНФОРМАЦИОННО-ТЕЛЕКОММУНИКАЦИОННОЙ СЕТИ ИНТЕРНЕТ</w:t>
      </w:r>
    </w:p>
    <w:p w:rsidR="00A63958" w:rsidRDefault="00A63958">
      <w:pPr>
        <w:pStyle w:val="ConsPlusNormal"/>
        <w:jc w:val="center"/>
      </w:pPr>
    </w:p>
    <w:p w:rsidR="00A63958" w:rsidRDefault="00A63958">
      <w:pPr>
        <w:pStyle w:val="ConsPlusNormal"/>
        <w:ind w:firstLine="540"/>
        <w:jc w:val="both"/>
      </w:pPr>
      <w:r>
        <w:lastRenderedPageBreak/>
        <w:t xml:space="preserve">1. </w:t>
      </w:r>
      <w:proofErr w:type="gramStart"/>
      <w:r>
        <w:t xml:space="preserve">Настоящий Порядок разработан в соответствии со </w:t>
      </w:r>
      <w:hyperlink r:id="rId8" w:history="1">
        <w:r>
          <w:rPr>
            <w:color w:val="0000FF"/>
          </w:rPr>
          <w:t>статьей 187</w:t>
        </w:r>
      </w:hyperlink>
      <w:r>
        <w:t xml:space="preserve"> Жилищного </w:t>
      </w:r>
      <w:hyperlink r:id="rId9" w:history="1">
        <w:r>
          <w:rPr>
            <w:color w:val="0000FF"/>
          </w:rPr>
          <w:t>кодекса</w:t>
        </w:r>
      </w:hyperlink>
      <w:r>
        <w:t xml:space="preserve"> Российской Федерации, </w:t>
      </w:r>
      <w:hyperlink r:id="rId10" w:history="1">
        <w:r>
          <w:rPr>
            <w:color w:val="0000FF"/>
          </w:rPr>
          <w:t>частью 12 статьи 3</w:t>
        </w:r>
      </w:hyperlink>
      <w:r>
        <w:t xml:space="preserve"> Закона Сахалинской области от 15.07.2013 N 76-ЗО "О регулировании отдельных вопросов обеспечения проведения капитального ремонта общего имущества в многоквартирных домах, расположенных на территории Сахалинской области" и устанавливает для некоммерческой организации "Фонд капитального ремонта многоквартирных домов Сахалинской области" (далее - Фонд) порядок принятия решения о проведении</w:t>
      </w:r>
      <w:proofErr w:type="gramEnd"/>
      <w:r>
        <w:t xml:space="preserve"> аудита годовой бухгалтерской (финансовой) отчетности, утверждения договора с аудиторской организацией, порядок и сроки размещения годового отчета и аудиторского заключения в информационно-телекоммуникационной сети Интернет.</w:t>
      </w:r>
    </w:p>
    <w:p w:rsidR="00A63958" w:rsidRDefault="00A63958">
      <w:pPr>
        <w:pStyle w:val="ConsPlusNormal"/>
        <w:spacing w:before="220"/>
        <w:ind w:firstLine="540"/>
        <w:jc w:val="both"/>
      </w:pPr>
      <w:r>
        <w:t xml:space="preserve">2. Годовой отчет Фонда за период с 1 января по 31 декабря календарного года включительно подготавливается руководителем Фонда и представляется им на утверждение в Правление Фонда ежегодно не позднее 31 марта года, следующего </w:t>
      </w:r>
      <w:proofErr w:type="gramStart"/>
      <w:r>
        <w:t>за</w:t>
      </w:r>
      <w:proofErr w:type="gramEnd"/>
      <w:r>
        <w:t xml:space="preserve"> отчетным.</w:t>
      </w:r>
    </w:p>
    <w:p w:rsidR="00A63958" w:rsidRDefault="00A63958">
      <w:pPr>
        <w:pStyle w:val="ConsPlusNormal"/>
        <w:spacing w:before="220"/>
        <w:ind w:firstLine="540"/>
        <w:jc w:val="both"/>
      </w:pPr>
      <w:r>
        <w:t>3. Годовой отчет Фонда включает в себя отчет о деятельности Фонда за прошедший отчетный период, годовую бухгалтерскую (финансовую) отчетность. Годовой бухгалтерской (финансовой) отчетностью Фонда признаются бухгалтерский баланс, отчет о целевом использовании средств и приложения к ним. Годовая бухгалтерская (финансовая) отчетность Фонда подлежит обязательному аудиту, проводимому аудиторской организацией (аудитором), отбираемой министерством энергетики и ЖКХ Сахалинской области (далее - организатор конкурса) на конкурсной основе.</w:t>
      </w:r>
    </w:p>
    <w:p w:rsidR="00A63958" w:rsidRDefault="00A63958">
      <w:pPr>
        <w:pStyle w:val="ConsPlusNormal"/>
        <w:spacing w:before="220"/>
        <w:ind w:firstLine="540"/>
        <w:jc w:val="both"/>
      </w:pPr>
      <w:r>
        <w:t>4. В конкурсе может принять участие любая аудиторская организация независимо от организационно-правовой формы, формы собственности, места нахождения и места происхождения капитала.</w:t>
      </w:r>
    </w:p>
    <w:p w:rsidR="00A63958" w:rsidRDefault="00A63958">
      <w:pPr>
        <w:pStyle w:val="ConsPlusNormal"/>
        <w:spacing w:before="220"/>
        <w:ind w:firstLine="540"/>
        <w:jc w:val="both"/>
      </w:pPr>
      <w:r>
        <w:t>5. Конкурс по отбору аудиторской организации (аудитора) проводится в открытой форме и сроком на три года.</w:t>
      </w:r>
    </w:p>
    <w:p w:rsidR="00A63958" w:rsidRDefault="00A63958">
      <w:pPr>
        <w:pStyle w:val="ConsPlusNormal"/>
        <w:spacing w:before="220"/>
        <w:ind w:firstLine="540"/>
        <w:jc w:val="both"/>
      </w:pPr>
      <w:r>
        <w:t>6. Решение о проведении планового годового аудита Фонда принимается Правлением Фонда не позднее 1 апреля года, следующего за отчетным годом.</w:t>
      </w:r>
    </w:p>
    <w:p w:rsidR="00A63958" w:rsidRDefault="00A63958">
      <w:pPr>
        <w:pStyle w:val="ConsPlusNormal"/>
        <w:spacing w:before="220"/>
        <w:ind w:firstLine="540"/>
        <w:jc w:val="both"/>
      </w:pPr>
      <w:r>
        <w:t>7. Принятие решения Правлением Фонда о проведении планового годового аудита Фонда является основанием для подготовки конкурсной документации в случае отсутствия между Фондом и аудиторской организацией (аудитором) договора на проведение аудита, заключенного ранее в соответствие с настоящим Порядком.</w:t>
      </w:r>
    </w:p>
    <w:p w:rsidR="00A63958" w:rsidRDefault="00A63958">
      <w:pPr>
        <w:pStyle w:val="ConsPlusNormal"/>
        <w:spacing w:before="220"/>
        <w:ind w:firstLine="540"/>
        <w:jc w:val="both"/>
      </w:pPr>
      <w:r>
        <w:t>8. К участникам конкурса устанавливаются следующие единые требования:</w:t>
      </w:r>
    </w:p>
    <w:p w:rsidR="00A63958" w:rsidRDefault="00A63958">
      <w:pPr>
        <w:pStyle w:val="ConsPlusNormal"/>
        <w:spacing w:before="220"/>
        <w:ind w:firstLine="540"/>
        <w:jc w:val="both"/>
      </w:pPr>
      <w:r>
        <w:t xml:space="preserve">- соответствие участника конкурса требованиям Федерального </w:t>
      </w:r>
      <w:hyperlink r:id="rId11" w:history="1">
        <w:r>
          <w:rPr>
            <w:color w:val="0000FF"/>
          </w:rPr>
          <w:t>закона</w:t>
        </w:r>
      </w:hyperlink>
      <w:r>
        <w:t xml:space="preserve"> от 30.12.2008 N 307-ФЗ "Об аудиторской деятельности", другим федеральным законам и иным нормативным актам по проведению аудиторской деятельности;</w:t>
      </w:r>
    </w:p>
    <w:p w:rsidR="00A63958" w:rsidRDefault="00A63958">
      <w:pPr>
        <w:pStyle w:val="ConsPlusNormal"/>
        <w:spacing w:before="220"/>
        <w:ind w:firstLine="540"/>
        <w:jc w:val="both"/>
      </w:pPr>
      <w:r>
        <w:t>- наличие действующего членства в саморегулируемой организац</w:t>
      </w:r>
      <w:proofErr w:type="gramStart"/>
      <w:r>
        <w:t>ии ау</w:t>
      </w:r>
      <w:proofErr w:type="gramEnd"/>
      <w:r>
        <w:t>диторов, включенной в Государственный реестр саморегулируемых организаций аудиторов;</w:t>
      </w:r>
    </w:p>
    <w:p w:rsidR="00A63958" w:rsidRDefault="00A63958">
      <w:pPr>
        <w:pStyle w:val="ConsPlusNormal"/>
        <w:spacing w:before="220"/>
        <w:ind w:firstLine="540"/>
        <w:jc w:val="both"/>
      </w:pPr>
      <w:r>
        <w:t xml:space="preserve">- наличие у аудитора (числящегося в штатном составе аудиторской организации и предполагаемого для непосредственного оказания услуг, соответствующих предмету конкурса) квалификационного аттестата аудитора, выданного саморегулируемой организацией аудиторов в соответствии с требованиями </w:t>
      </w:r>
      <w:hyperlink r:id="rId12" w:history="1">
        <w:r>
          <w:rPr>
            <w:color w:val="0000FF"/>
          </w:rPr>
          <w:t>статьи 11</w:t>
        </w:r>
      </w:hyperlink>
      <w:r>
        <w:t xml:space="preserve"> Федерального закона от 30.12.2008 N 307-ФЗ "Об аудиторской деятельности";</w:t>
      </w:r>
    </w:p>
    <w:p w:rsidR="00A63958" w:rsidRDefault="00A63958">
      <w:pPr>
        <w:pStyle w:val="ConsPlusNormal"/>
        <w:spacing w:before="220"/>
        <w:ind w:firstLine="540"/>
        <w:jc w:val="both"/>
      </w:pPr>
      <w:r>
        <w:t>-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A63958" w:rsidRDefault="00A63958">
      <w:pPr>
        <w:pStyle w:val="ConsPlusNormal"/>
        <w:spacing w:before="220"/>
        <w:ind w:firstLine="540"/>
        <w:jc w:val="both"/>
      </w:pPr>
      <w:r>
        <w:lastRenderedPageBreak/>
        <w:t xml:space="preserve">- неприостановление деятельности участника конкурса в порядке, установленном </w:t>
      </w:r>
      <w:hyperlink r:id="rId13" w:history="1">
        <w:r>
          <w:rPr>
            <w:color w:val="0000FF"/>
          </w:rPr>
          <w:t>Кодексом</w:t>
        </w:r>
      </w:hyperlink>
      <w:r>
        <w:t xml:space="preserve"> Российской Федерации об административных правонарушениях, на дату подачи заявки на участие в конкурсе;</w:t>
      </w:r>
    </w:p>
    <w:p w:rsidR="00A63958" w:rsidRDefault="00A63958">
      <w:pPr>
        <w:pStyle w:val="ConsPlusNormal"/>
        <w:spacing w:before="220"/>
        <w:ind w:firstLine="540"/>
        <w:jc w:val="both"/>
      </w:pPr>
      <w:proofErr w:type="gramStart"/>
      <w:r>
        <w:t>-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t xml:space="preserve"> </w:t>
      </w:r>
      <w:proofErr w:type="gramStart"/>
      <w: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w:t>
      </w:r>
      <w:proofErr w:type="gramEnd"/>
      <w:r>
        <w:t xml:space="preserve">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3958" w:rsidRDefault="00A63958">
      <w:pPr>
        <w:pStyle w:val="ConsPlusNormal"/>
        <w:spacing w:before="220"/>
        <w:ind w:firstLine="540"/>
        <w:jc w:val="both"/>
      </w:pPr>
      <w:r>
        <w:t xml:space="preserve">- отсутствие в предусмотренном </w:t>
      </w:r>
      <w:hyperlink r:id="rId14" w:history="1">
        <w:r>
          <w:rPr>
            <w:color w:val="0000FF"/>
          </w:rPr>
          <w:t>Законом</w:t>
        </w:r>
      </w:hyperlink>
      <w:r>
        <w:t xml:space="preserve"> о контрактной системе реестре недобросовестных поставщиков (подрядчиков, исполнителей) информации об участнике конкурса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w:t>
      </w:r>
    </w:p>
    <w:p w:rsidR="00A63958" w:rsidRDefault="00A63958">
      <w:pPr>
        <w:pStyle w:val="ConsPlusNormal"/>
        <w:spacing w:before="220"/>
        <w:ind w:firstLine="540"/>
        <w:jc w:val="both"/>
      </w:pPr>
      <w:proofErr w:type="gramStart"/>
      <w:r>
        <w:t>-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осуществляемого конкурса, и административного наказания в виде дисквалификации;</w:t>
      </w:r>
    </w:p>
    <w:p w:rsidR="00A63958" w:rsidRDefault="00A63958">
      <w:pPr>
        <w:pStyle w:val="ConsPlusNormal"/>
        <w:spacing w:before="220"/>
        <w:ind w:firstLine="540"/>
        <w:jc w:val="both"/>
      </w:pPr>
      <w:r>
        <w:t>- отсутствие в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p w:rsidR="00A63958" w:rsidRDefault="00A63958">
      <w:pPr>
        <w:pStyle w:val="ConsPlusNormal"/>
        <w:spacing w:before="220"/>
        <w:ind w:firstLine="540"/>
        <w:jc w:val="both"/>
      </w:pPr>
      <w:r>
        <w:t>9. Организатор конкурса, не менее чем за двадцать дней до даты вскрытия конвертов с заявками на участие в конкурсе публикует извещение о проведении конкурса на сайте министерства энергетики и жилищно-коммунального хозяйства Сахалинской области (http://gkh.admsakhalin.ru/).</w:t>
      </w:r>
    </w:p>
    <w:p w:rsidR="00A63958" w:rsidRDefault="00A63958">
      <w:pPr>
        <w:pStyle w:val="ConsPlusNormal"/>
        <w:spacing w:before="220"/>
        <w:ind w:firstLine="540"/>
        <w:jc w:val="both"/>
      </w:pPr>
      <w:r>
        <w:t>10. В извещении о проведении открытого конкурса указывается:</w:t>
      </w:r>
    </w:p>
    <w:p w:rsidR="00A63958" w:rsidRDefault="00A63958">
      <w:pPr>
        <w:pStyle w:val="ConsPlusNormal"/>
        <w:spacing w:before="220"/>
        <w:ind w:firstLine="540"/>
        <w:jc w:val="both"/>
      </w:pPr>
      <w:r>
        <w:t>- наименование, место нахождения, почтовый адрес, адрес электронной почты, номер контактного телефона, ответственное должностное лицо организатора конкурса;</w:t>
      </w:r>
    </w:p>
    <w:p w:rsidR="00A63958" w:rsidRDefault="00A63958">
      <w:pPr>
        <w:pStyle w:val="ConsPlusNormal"/>
        <w:spacing w:before="220"/>
        <w:ind w:firstLine="540"/>
        <w:jc w:val="both"/>
      </w:pPr>
      <w:r>
        <w:t>- информация об условиях договора (наименование и описание объекта конкурса, сведения о месте выполнения обязательного аудита, сроки проведения обязательного аудита);</w:t>
      </w:r>
    </w:p>
    <w:p w:rsidR="00A63958" w:rsidRDefault="00A63958">
      <w:pPr>
        <w:pStyle w:val="ConsPlusNormal"/>
        <w:spacing w:before="220"/>
        <w:ind w:firstLine="540"/>
        <w:jc w:val="both"/>
      </w:pPr>
      <w:r>
        <w:t>- информация о начальной цене договора и ее обоснование;</w:t>
      </w:r>
    </w:p>
    <w:p w:rsidR="00A63958" w:rsidRDefault="00A63958">
      <w:pPr>
        <w:pStyle w:val="ConsPlusNormal"/>
        <w:spacing w:before="220"/>
        <w:ind w:firstLine="540"/>
        <w:jc w:val="both"/>
      </w:pPr>
      <w:r>
        <w:t>- срок, место и порядок подачи заявок участников конкурса;</w:t>
      </w:r>
    </w:p>
    <w:p w:rsidR="00A63958" w:rsidRDefault="00A63958">
      <w:pPr>
        <w:pStyle w:val="ConsPlusNormal"/>
        <w:spacing w:before="220"/>
        <w:ind w:firstLine="540"/>
        <w:jc w:val="both"/>
      </w:pPr>
      <w:r>
        <w:t xml:space="preserve">- предъявляемые к участникам конкурса требования и исчерпывающий перечень </w:t>
      </w:r>
      <w:r>
        <w:lastRenderedPageBreak/>
        <w:t>документов, которые должны быть представлены участниками конкурса;</w:t>
      </w:r>
    </w:p>
    <w:p w:rsidR="00A63958" w:rsidRDefault="00A63958">
      <w:pPr>
        <w:pStyle w:val="ConsPlusNormal"/>
        <w:spacing w:before="220"/>
        <w:ind w:firstLine="540"/>
        <w:jc w:val="both"/>
      </w:pPr>
      <w:r>
        <w:t>- способы получения конкурсной документации, срок, место и порядок предоставления конкурсной документации;</w:t>
      </w:r>
    </w:p>
    <w:p w:rsidR="00A63958" w:rsidRDefault="00A63958">
      <w:pPr>
        <w:pStyle w:val="ConsPlusNormal"/>
        <w:spacing w:before="220"/>
        <w:ind w:firstLine="540"/>
        <w:jc w:val="both"/>
      </w:pPr>
      <w:r>
        <w:t>- язык или языки, на которых представляется конкурсная документация.</w:t>
      </w:r>
    </w:p>
    <w:p w:rsidR="00A63958" w:rsidRDefault="00A63958">
      <w:pPr>
        <w:pStyle w:val="ConsPlusNormal"/>
        <w:spacing w:before="220"/>
        <w:ind w:firstLine="540"/>
        <w:jc w:val="both"/>
      </w:pPr>
      <w:r>
        <w:t>11. Конкурсная документация наряду с информацией, указанной в извещении о проведении открытого конкурса, должна содержать:</w:t>
      </w:r>
    </w:p>
    <w:p w:rsidR="00A63958" w:rsidRDefault="00A63958">
      <w:pPr>
        <w:pStyle w:val="ConsPlusNormal"/>
        <w:spacing w:before="220"/>
        <w:ind w:firstLine="540"/>
        <w:jc w:val="both"/>
      </w:pPr>
      <w:proofErr w:type="gramStart"/>
      <w:r>
        <w:t>- наименование и описание объекта договора и условий договора, в том числе обоснование начальной цены договора;</w:t>
      </w:r>
      <w:proofErr w:type="gramEnd"/>
    </w:p>
    <w:p w:rsidR="00A63958" w:rsidRDefault="00A63958">
      <w:pPr>
        <w:pStyle w:val="ConsPlusNormal"/>
        <w:spacing w:before="220"/>
        <w:ind w:firstLine="540"/>
        <w:jc w:val="both"/>
      </w:pPr>
      <w:r>
        <w:t>- размер (не более 5% от начальной цены договора) и порядок внесения денежных сре</w:t>
      </w:r>
      <w:proofErr w:type="gramStart"/>
      <w:r>
        <w:t>дств в к</w:t>
      </w:r>
      <w:proofErr w:type="gramEnd"/>
      <w:r>
        <w:t>ачестве обеспечения заявок на участие в конкурсе, реквизиты счета для внесения денежных средств в качестве обеспечения заявок (если обеспечение заявок предусмотрено конкурсной документацией);</w:t>
      </w:r>
    </w:p>
    <w:p w:rsidR="00A63958" w:rsidRDefault="00A63958">
      <w:pPr>
        <w:pStyle w:val="ConsPlusNormal"/>
        <w:spacing w:before="220"/>
        <w:ind w:firstLine="540"/>
        <w:jc w:val="both"/>
      </w:pPr>
      <w:r>
        <w:t>- информацию о валюте, используемой для формирования цены договора и расчетов с исполнителем;</w:t>
      </w:r>
    </w:p>
    <w:p w:rsidR="00A63958" w:rsidRDefault="00A63958">
      <w:pPr>
        <w:pStyle w:val="ConsPlusNormal"/>
        <w:spacing w:before="220"/>
        <w:ind w:firstLine="540"/>
        <w:jc w:val="both"/>
      </w:pPr>
      <w:r>
        <w:t>- порядок подачи заявок на участие в конкурсе;</w:t>
      </w:r>
    </w:p>
    <w:p w:rsidR="00A63958" w:rsidRDefault="00A63958">
      <w:pPr>
        <w:pStyle w:val="ConsPlusNormal"/>
        <w:spacing w:before="220"/>
        <w:ind w:firstLine="540"/>
        <w:jc w:val="both"/>
      </w:pPr>
      <w:r>
        <w:t>- порядок и срок отзыва заявок на участие в конкурсе, порядок возврата заявок на участие в конкурсе (в том числе поступивших после окончания срока подачи этих заявок), порядок внесения изменений в эти заявки;</w:t>
      </w:r>
    </w:p>
    <w:p w:rsidR="00A63958" w:rsidRDefault="00A63958">
      <w:pPr>
        <w:pStyle w:val="ConsPlusNormal"/>
        <w:spacing w:before="220"/>
        <w:ind w:firstLine="540"/>
        <w:jc w:val="both"/>
      </w:pPr>
      <w:r>
        <w:t>- порядок предоставления участникам конкурса разъяснений положений конкурсной документации, даты начала и окончания срока такого предоставления;</w:t>
      </w:r>
    </w:p>
    <w:p w:rsidR="00A63958" w:rsidRDefault="00A63958">
      <w:pPr>
        <w:pStyle w:val="ConsPlusNormal"/>
        <w:spacing w:before="220"/>
        <w:ind w:firstLine="540"/>
        <w:jc w:val="both"/>
      </w:pPr>
      <w:r>
        <w:t>- критерии оценки заявок на участие в открытом конкурсе, величины значимости этих критериев, порядок рассмотрения и оценки заявок на участие в конкурсе;</w:t>
      </w:r>
    </w:p>
    <w:p w:rsidR="00A63958" w:rsidRDefault="00A63958">
      <w:pPr>
        <w:pStyle w:val="ConsPlusNormal"/>
        <w:spacing w:before="220"/>
        <w:ind w:firstLine="540"/>
        <w:jc w:val="both"/>
      </w:pPr>
      <w:r>
        <w:t>- информацию о лице, ответственном за заключение договора, сроке, в течение которого победитель конкурса или иной его участник, с которым заключается договор, должен подписать договор, условия признания победителя конкурса или данного участника уклонившимся от заключения контракта;</w:t>
      </w:r>
    </w:p>
    <w:p w:rsidR="00A63958" w:rsidRDefault="00A63958">
      <w:pPr>
        <w:pStyle w:val="ConsPlusNormal"/>
        <w:spacing w:before="220"/>
        <w:ind w:firstLine="540"/>
        <w:jc w:val="both"/>
      </w:pPr>
      <w:r>
        <w:t>- информацию о возможности одностороннего отказа от исполнения договора;</w:t>
      </w:r>
    </w:p>
    <w:p w:rsidR="00A63958" w:rsidRDefault="00A63958">
      <w:pPr>
        <w:pStyle w:val="ConsPlusNormal"/>
        <w:spacing w:before="220"/>
        <w:ind w:firstLine="540"/>
        <w:jc w:val="both"/>
      </w:pPr>
      <w:r>
        <w:t>- проект договора.</w:t>
      </w:r>
    </w:p>
    <w:p w:rsidR="00A63958" w:rsidRDefault="00A63958">
      <w:pPr>
        <w:pStyle w:val="ConsPlusNormal"/>
        <w:spacing w:before="220"/>
        <w:ind w:firstLine="540"/>
        <w:jc w:val="both"/>
      </w:pPr>
      <w:r>
        <w:t>12. Размещение конкурсной документации осуществляется организатором конкурса одновременно с размещением извещения о проведении конкурса. Конкурсная документация должна быть доступна для ознакомления без взимания платы. Представление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A63958" w:rsidRDefault="00A63958">
      <w:pPr>
        <w:pStyle w:val="ConsPlusNormal"/>
        <w:spacing w:before="220"/>
        <w:ind w:firstLine="540"/>
        <w:jc w:val="both"/>
      </w:pPr>
      <w:r>
        <w:t xml:space="preserve">13. Организатор конкурса вправе принять решение о внесении изменений в конкурсную документацию не </w:t>
      </w:r>
      <w:proofErr w:type="gramStart"/>
      <w:r>
        <w:t>позднее</w:t>
      </w:r>
      <w:proofErr w:type="gramEnd"/>
      <w:r>
        <w:t xml:space="preserve"> чем за пять дней до даты окончания срока подачи заявок на участие в конкурсе. </w:t>
      </w:r>
      <w:proofErr w:type="gramStart"/>
      <w:r>
        <w:t>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представлена конкурсная документация.</w:t>
      </w:r>
      <w:proofErr w:type="gramEnd"/>
      <w:r>
        <w:t xml:space="preserve"> При этом срок подачи заявок на участие в конкурсе должен быть продлен таким образом, чтобы </w:t>
      </w:r>
      <w:proofErr w:type="gramStart"/>
      <w:r>
        <w:t>с даты размещения</w:t>
      </w:r>
      <w:proofErr w:type="gramEnd"/>
      <w:r>
        <w:t xml:space="preserve"> изменений до даты </w:t>
      </w:r>
      <w:r>
        <w:lastRenderedPageBreak/>
        <w:t>окончания срока подачи заявок на участие в открытом конкурсе этот срок составлял не менее чем десять рабочих дней.</w:t>
      </w:r>
    </w:p>
    <w:p w:rsidR="00A63958" w:rsidRDefault="00A63958">
      <w:pPr>
        <w:pStyle w:val="ConsPlusNormal"/>
        <w:spacing w:before="220"/>
        <w:ind w:firstLine="540"/>
        <w:jc w:val="both"/>
      </w:pPr>
      <w:r>
        <w:t xml:space="preserve">14. Любой участник открытого конкурса вправе направить в письменной форме организатору конкурса запрос о даче разъяснений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конкурса не </w:t>
      </w:r>
      <w:proofErr w:type="gramStart"/>
      <w:r>
        <w:t>позднее</w:t>
      </w:r>
      <w:proofErr w:type="gramEnd"/>
      <w:r>
        <w:t xml:space="preserve"> чем за пять дней до даты окончания срока подачи заявок на участие в конкурсе.</w:t>
      </w:r>
    </w:p>
    <w:p w:rsidR="00A63958" w:rsidRDefault="00A63958">
      <w:pPr>
        <w:pStyle w:val="ConsPlusNormal"/>
        <w:spacing w:before="220"/>
        <w:ind w:firstLine="540"/>
        <w:jc w:val="both"/>
      </w:pPr>
      <w:r>
        <w:t>15. 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A63958" w:rsidRDefault="00A63958">
      <w:pPr>
        <w:pStyle w:val="ConsPlusNormal"/>
        <w:spacing w:before="220"/>
        <w:ind w:firstLine="540"/>
        <w:jc w:val="both"/>
      </w:pPr>
      <w:r>
        <w:t>16. 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p w:rsidR="00A63958" w:rsidRDefault="00A63958">
      <w:pPr>
        <w:pStyle w:val="ConsPlusNormal"/>
        <w:spacing w:before="220"/>
        <w:ind w:firstLine="540"/>
        <w:jc w:val="both"/>
      </w:pPr>
      <w:r>
        <w:t>17. Каждый конверт с заявкой на участие в конкурсе,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A63958" w:rsidRDefault="00A63958">
      <w:pPr>
        <w:pStyle w:val="ConsPlusNormal"/>
        <w:spacing w:before="220"/>
        <w:ind w:firstLine="540"/>
        <w:jc w:val="both"/>
      </w:pPr>
      <w:r>
        <w:t>18. Участник открытого конкурса вправе подать только одну заявку на участие в конкурсе.</w:t>
      </w:r>
    </w:p>
    <w:p w:rsidR="00A63958" w:rsidRDefault="00A63958">
      <w:pPr>
        <w:pStyle w:val="ConsPlusNormal"/>
        <w:spacing w:before="220"/>
        <w:ind w:firstLine="540"/>
        <w:jc w:val="both"/>
      </w:pPr>
      <w:r>
        <w:t xml:space="preserve">19. Организатор конкурса </w:t>
      </w:r>
      <w:proofErr w:type="gramStart"/>
      <w:r>
        <w:t>обеспечивает сохранность конвертов с заявками на участие в открытом конкурсе и обеспечивает</w:t>
      </w:r>
      <w:proofErr w:type="gramEnd"/>
      <w:r>
        <w:t xml:space="preserve"> рассмотрение содержания заявок на участие в конкурсе только после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этих конвертов, осуществлять открытие доступа к таким заявкам до момента вскрытия конвертов с заявками на участие в конкурсе.</w:t>
      </w:r>
    </w:p>
    <w:p w:rsidR="00A63958" w:rsidRDefault="00A63958">
      <w:pPr>
        <w:pStyle w:val="ConsPlusNormal"/>
        <w:spacing w:before="220"/>
        <w:ind w:firstLine="540"/>
        <w:jc w:val="both"/>
      </w:pPr>
      <w:r>
        <w:t>20.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в порядке, установленном конкурсной документацией.</w:t>
      </w:r>
    </w:p>
    <w:p w:rsidR="00A63958" w:rsidRDefault="00A63958">
      <w:pPr>
        <w:pStyle w:val="ConsPlusNormal"/>
        <w:spacing w:before="220"/>
        <w:ind w:firstLine="540"/>
        <w:jc w:val="both"/>
      </w:pPr>
      <w:r>
        <w:t>21. Заявка на участие в открытом конкурсе должна содержать информацию:</w:t>
      </w:r>
    </w:p>
    <w:p w:rsidR="00A63958" w:rsidRDefault="00A63958">
      <w:pPr>
        <w:pStyle w:val="ConsPlusNormal"/>
        <w:spacing w:before="220"/>
        <w:ind w:firstLine="540"/>
        <w:jc w:val="both"/>
      </w:pPr>
      <w:r>
        <w:t>- опись входящих в состав заявки документов по форме, установленной в конкурсной документации;</w:t>
      </w:r>
    </w:p>
    <w:p w:rsidR="00A63958" w:rsidRDefault="00A63958">
      <w:pPr>
        <w:pStyle w:val="ConsPlusNormal"/>
        <w:spacing w:before="220"/>
        <w:ind w:firstLine="540"/>
        <w:jc w:val="both"/>
      </w:pPr>
      <w:proofErr w:type="gramStart"/>
      <w:r>
        <w:t>- 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фамилию, имя, отчество (при наличии), паспортные данные, место жительства (для физического лица), номер контактного телефона;</w:t>
      </w:r>
      <w:proofErr w:type="gramEnd"/>
    </w:p>
    <w:p w:rsidR="00A63958" w:rsidRDefault="00A63958">
      <w:pPr>
        <w:pStyle w:val="ConsPlusNormal"/>
        <w:spacing w:before="220"/>
        <w:ind w:firstLine="540"/>
        <w:jc w:val="both"/>
      </w:pPr>
      <w:r>
        <w:t>- конкурсное предложение участника открытого конкурса в отношении каждого критерия конкурса, установленного настоящим Порядком;</w:t>
      </w:r>
    </w:p>
    <w:p w:rsidR="00A63958" w:rsidRDefault="00A63958">
      <w:pPr>
        <w:pStyle w:val="ConsPlusNormal"/>
        <w:spacing w:before="220"/>
        <w:ind w:firstLine="540"/>
        <w:jc w:val="both"/>
      </w:pPr>
      <w:r>
        <w:t>- предложение о сроках оказания услуг;</w:t>
      </w:r>
    </w:p>
    <w:p w:rsidR="00A63958" w:rsidRDefault="00A63958">
      <w:pPr>
        <w:pStyle w:val="ConsPlusNormal"/>
        <w:spacing w:before="220"/>
        <w:ind w:firstLine="540"/>
        <w:jc w:val="both"/>
      </w:pPr>
      <w:proofErr w:type="gramStart"/>
      <w:r>
        <w:t xml:space="preserve">-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засвидетельствованную в нотариальном порядке копию такой </w:t>
      </w:r>
      <w:r>
        <w:lastRenderedPageBreak/>
        <w:t>выписки (для юридических лиц),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w:t>
      </w:r>
      <w:proofErr w:type="gramEnd"/>
      <w:r>
        <w:t xml:space="preserve"> </w:t>
      </w:r>
      <w:proofErr w:type="gramStart"/>
      <w:r>
        <w:t>реестра индивидуальных предпринимателей или засвидетельствованную в нотариальном порядке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w:t>
      </w:r>
      <w:proofErr w:type="gramEnd"/>
      <w:r>
        <w:t xml:space="preserve"> размещения в единой информационной системе извещения о проведении открытого конкурса;</w:t>
      </w:r>
    </w:p>
    <w:p w:rsidR="00A63958" w:rsidRDefault="00A63958">
      <w:pPr>
        <w:pStyle w:val="ConsPlusNormal"/>
        <w:spacing w:before="220"/>
        <w:ind w:firstLine="540"/>
        <w:jc w:val="both"/>
      </w:pPr>
      <w: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конкурса без доверенности);</w:t>
      </w:r>
    </w:p>
    <w:p w:rsidR="00A63958" w:rsidRDefault="00A63958">
      <w:pPr>
        <w:pStyle w:val="ConsPlusNormal"/>
        <w:spacing w:before="220"/>
        <w:ind w:firstLine="540"/>
        <w:jc w:val="both"/>
      </w:pPr>
      <w:r>
        <w:t>- заверенную копию документа, подтверждающего членство в саморегулируемой организац</w:t>
      </w:r>
      <w:proofErr w:type="gramStart"/>
      <w:r>
        <w:t>ии ау</w:t>
      </w:r>
      <w:proofErr w:type="gramEnd"/>
      <w:r>
        <w:t>диторов;</w:t>
      </w:r>
    </w:p>
    <w:p w:rsidR="00A63958" w:rsidRDefault="00A63958">
      <w:pPr>
        <w:pStyle w:val="ConsPlusNormal"/>
        <w:spacing w:before="220"/>
        <w:ind w:firstLine="540"/>
        <w:jc w:val="both"/>
      </w:pPr>
      <w:r>
        <w:t>- копию квалификационного аттестата аудитора;</w:t>
      </w:r>
    </w:p>
    <w:p w:rsidR="00A63958" w:rsidRDefault="00A63958">
      <w:pPr>
        <w:pStyle w:val="ConsPlusNormal"/>
        <w:spacing w:before="220"/>
        <w:ind w:firstLine="540"/>
        <w:jc w:val="both"/>
      </w:pPr>
      <w:r>
        <w:t xml:space="preserve">- письмо-обязательство о том, что аудиторская организация не попадает под условия, предусмотренные в </w:t>
      </w:r>
      <w:hyperlink r:id="rId15" w:history="1">
        <w:r>
          <w:rPr>
            <w:color w:val="0000FF"/>
          </w:rPr>
          <w:t>пункте 1 статьи 12</w:t>
        </w:r>
      </w:hyperlink>
      <w:r>
        <w:t xml:space="preserve"> Федерального закона от 30.12.2008 N 307-ФЗ "Об аудиторской деятельности";</w:t>
      </w:r>
    </w:p>
    <w:p w:rsidR="00A63958" w:rsidRDefault="00A63958">
      <w:pPr>
        <w:pStyle w:val="ConsPlusNormal"/>
        <w:spacing w:before="220"/>
        <w:ind w:firstLine="540"/>
        <w:jc w:val="both"/>
      </w:pPr>
      <w:r>
        <w:t>- копии учредительных документов участника конкурса (для юридических лиц);</w:t>
      </w:r>
    </w:p>
    <w:p w:rsidR="00A63958" w:rsidRDefault="00A63958">
      <w:pPr>
        <w:pStyle w:val="ConsPlusNormal"/>
        <w:spacing w:before="220"/>
        <w:ind w:firstLine="540"/>
        <w:jc w:val="both"/>
      </w:pPr>
      <w:r>
        <w:t>- документ (или копию документа), подтверждающий внесение денежных сре</w:t>
      </w:r>
      <w:proofErr w:type="gramStart"/>
      <w:r>
        <w:t>дств в к</w:t>
      </w:r>
      <w:proofErr w:type="gramEnd"/>
      <w:r>
        <w:t>ачестве обеспечения заявки на участие в конкурсе (если обеспечение заявки предусмотрено конкурсной документацией).</w:t>
      </w:r>
    </w:p>
    <w:p w:rsidR="00A63958" w:rsidRDefault="00A63958">
      <w:pPr>
        <w:pStyle w:val="ConsPlusNormal"/>
        <w:spacing w:before="220"/>
        <w:ind w:firstLine="540"/>
        <w:jc w:val="both"/>
      </w:pPr>
      <w:r>
        <w:t>Отсутствие в составе конкурсной заявки какого-либо документа или представление документов по формам, отличным от тех, что включены в конкурсную документацию, является основанием для отказа в допуске к участию в конкурсе.</w:t>
      </w:r>
    </w:p>
    <w:p w:rsidR="00A63958" w:rsidRDefault="00A63958">
      <w:pPr>
        <w:pStyle w:val="ConsPlusNormal"/>
        <w:spacing w:before="220"/>
        <w:ind w:firstLine="540"/>
        <w:jc w:val="both"/>
      </w:pPr>
      <w:r>
        <w:t xml:space="preserve">22. Все листы поданной в письменной форме заявки на участие в открытом конкурсе, все листы тома такой заявки должны быть </w:t>
      </w:r>
      <w:proofErr w:type="gramStart"/>
      <w:r>
        <w:t>прошиты и пронумерованы</w:t>
      </w:r>
      <w:proofErr w:type="gramEnd"/>
      <w:r>
        <w:t>.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A63958" w:rsidRDefault="00A63958">
      <w:pPr>
        <w:pStyle w:val="ConsPlusNormal"/>
        <w:spacing w:before="220"/>
        <w:ind w:firstLine="540"/>
        <w:jc w:val="both"/>
      </w:pPr>
      <w:r>
        <w:t>23. Для участия в конкурсе участник обязан представить обеспечение конкурсной заявки в размере не более 5% от начальной цены договора (если обеспечение заявок предусмотрено организатором конкурса).</w:t>
      </w:r>
    </w:p>
    <w:p w:rsidR="00A63958" w:rsidRDefault="00A63958">
      <w:pPr>
        <w:pStyle w:val="ConsPlusNormal"/>
        <w:spacing w:before="220"/>
        <w:ind w:firstLine="540"/>
        <w:jc w:val="both"/>
      </w:pPr>
      <w:r>
        <w:t>Обеспечение конкурсной заявки удерживается в пользу организатора конкурса в следующих случаях:</w:t>
      </w:r>
    </w:p>
    <w:p w:rsidR="00A63958" w:rsidRDefault="00A63958">
      <w:pPr>
        <w:pStyle w:val="ConsPlusNormal"/>
        <w:spacing w:before="220"/>
        <w:ind w:firstLine="540"/>
        <w:jc w:val="both"/>
      </w:pPr>
      <w:r>
        <w:t>- участник отозвал свою конкурсную заявку после процедуры вскрытия конвертов;</w:t>
      </w:r>
    </w:p>
    <w:p w:rsidR="00A63958" w:rsidRDefault="00A63958">
      <w:pPr>
        <w:pStyle w:val="ConsPlusNormal"/>
        <w:spacing w:before="220"/>
        <w:ind w:firstLine="540"/>
        <w:jc w:val="both"/>
      </w:pPr>
      <w:r>
        <w:t>- участник, выигравший конкурс, уклоняется или отказывается заключить договор;</w:t>
      </w:r>
    </w:p>
    <w:p w:rsidR="00A63958" w:rsidRDefault="00A63958">
      <w:pPr>
        <w:pStyle w:val="ConsPlusNormal"/>
        <w:spacing w:before="220"/>
        <w:ind w:firstLine="540"/>
        <w:jc w:val="both"/>
      </w:pPr>
      <w:r>
        <w:lastRenderedPageBreak/>
        <w:t>- участник, выигравший конкурс, не предоставил обеспечение исполнения договора или предоставил с нарушениями условий.</w:t>
      </w:r>
    </w:p>
    <w:p w:rsidR="00A63958" w:rsidRDefault="00A63958">
      <w:pPr>
        <w:pStyle w:val="ConsPlusNormal"/>
        <w:spacing w:before="220"/>
        <w:ind w:firstLine="540"/>
        <w:jc w:val="both"/>
      </w:pPr>
      <w: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десяти рабочих дней </w:t>
      </w:r>
      <w:proofErr w:type="gramStart"/>
      <w:r>
        <w:t>с даты наступления</w:t>
      </w:r>
      <w:proofErr w:type="gramEnd"/>
      <w:r>
        <w:t xml:space="preserve"> одного из следующих случаев:</w:t>
      </w:r>
    </w:p>
    <w:p w:rsidR="00A63958" w:rsidRDefault="00A63958">
      <w:pPr>
        <w:pStyle w:val="ConsPlusNormal"/>
        <w:spacing w:before="220"/>
        <w:ind w:firstLine="540"/>
        <w:jc w:val="both"/>
      </w:pPr>
      <w:r>
        <w:t>- подписание протокола рассмотрения и оценки заявок на участие в конкурсе. При этом возврат осуществляется в отношении денежных сре</w:t>
      </w:r>
      <w:proofErr w:type="gramStart"/>
      <w:r>
        <w:t>дств вс</w:t>
      </w:r>
      <w:proofErr w:type="gramEnd"/>
      <w:r>
        <w:t>ех участников конкурса, за исключением победителя конкурса, которому такие денежные средства возвращаются после заключения договора;</w:t>
      </w:r>
    </w:p>
    <w:p w:rsidR="00A63958" w:rsidRDefault="00A63958">
      <w:pPr>
        <w:pStyle w:val="ConsPlusNormal"/>
        <w:spacing w:before="220"/>
        <w:ind w:firstLine="540"/>
        <w:jc w:val="both"/>
      </w:pPr>
      <w:r>
        <w:t>- отмена конкурса;</w:t>
      </w:r>
    </w:p>
    <w:p w:rsidR="00A63958" w:rsidRDefault="00A63958">
      <w:pPr>
        <w:pStyle w:val="ConsPlusNormal"/>
        <w:spacing w:before="220"/>
        <w:ind w:firstLine="540"/>
        <w:jc w:val="both"/>
      </w:pPr>
      <w:r>
        <w:t>- отклонение заявки участника конкурса;</w:t>
      </w:r>
    </w:p>
    <w:p w:rsidR="00A63958" w:rsidRDefault="00A63958">
      <w:pPr>
        <w:pStyle w:val="ConsPlusNormal"/>
        <w:spacing w:before="220"/>
        <w:ind w:firstLine="540"/>
        <w:jc w:val="both"/>
      </w:pPr>
      <w:r>
        <w:t>- отзыв заявки участником конкурса до окончания срока подачи заявок;</w:t>
      </w:r>
    </w:p>
    <w:p w:rsidR="00A63958" w:rsidRDefault="00A63958">
      <w:pPr>
        <w:pStyle w:val="ConsPlusNormal"/>
        <w:spacing w:before="220"/>
        <w:ind w:firstLine="540"/>
        <w:jc w:val="both"/>
      </w:pPr>
      <w:r>
        <w:t>- получение заявки на участие в конкурсе после окончания срока подачи заявок;</w:t>
      </w:r>
    </w:p>
    <w:p w:rsidR="00A63958" w:rsidRDefault="00A63958">
      <w:pPr>
        <w:pStyle w:val="ConsPlusNormal"/>
        <w:spacing w:before="220"/>
        <w:ind w:firstLine="540"/>
        <w:jc w:val="both"/>
      </w:pPr>
      <w:proofErr w:type="gramStart"/>
      <w:r>
        <w:t>- отстранение участника конкурса или отказ от заключения договора с победителем конкурса осуществляется в любой момент до заключения договора, если конкурсная комиссия обнаружит, что участник конкурса не соответствует требованиям, установленным в соответствии с законодательством Российской Федерации к лицам, осуществляющим выполнение работ, оказание услуг, или предоставил недостоверную информацию в отношении своего соответствия указанным требованиям.</w:t>
      </w:r>
      <w:proofErr w:type="gramEnd"/>
    </w:p>
    <w:p w:rsidR="00A63958" w:rsidRDefault="00A63958">
      <w:pPr>
        <w:pStyle w:val="ConsPlusNormal"/>
        <w:spacing w:before="220"/>
        <w:ind w:firstLine="540"/>
        <w:jc w:val="both"/>
      </w:pPr>
      <w:r>
        <w:t xml:space="preserve">24. Рассмотрение заявок на участие в конкурсе осуществляется конкурсной комиссией. Решение о создании комиссии принимается организатором конкурса до начала проведения конкурса. При этом определяются состав комиссии и порядок ее работы, назначается председатель комиссии. </w:t>
      </w:r>
      <w:proofErr w:type="gramStart"/>
      <w:r>
        <w:t>Членами комиссии не могут быть физические лица, лично заинтересованные в результатах определения победителей конкурса,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конкурса, либо физические лица, состоящие в браке с руководителем участника конкурса, либо являющиеся близкими родственниками (родственниками по</w:t>
      </w:r>
      <w:proofErr w:type="gramEnd"/>
      <w:r>
        <w:t xml:space="preserve">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конкурса, а также непосредственно осуществляющие контроль в сфере закупок должностные лица контрольного органа в сфере закупок. </w:t>
      </w:r>
      <w:proofErr w:type="gramStart"/>
      <w:r>
        <w:t>В случае выявления в составе комиссии указанных лиц организатор конкурса,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победителей и на которых не способны оказывать влияние участники конкурса,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A63958" w:rsidRDefault="00A63958">
      <w:pPr>
        <w:pStyle w:val="ConsPlusNormal"/>
        <w:spacing w:before="220"/>
        <w:ind w:firstLine="540"/>
        <w:jc w:val="both"/>
      </w:pPr>
      <w:r>
        <w:t>25.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63958" w:rsidRDefault="00A63958">
      <w:pPr>
        <w:pStyle w:val="ConsPlusNormal"/>
        <w:spacing w:before="220"/>
        <w:ind w:firstLine="540"/>
        <w:jc w:val="both"/>
      </w:pPr>
      <w:r>
        <w:t xml:space="preserve">26. Конкурсная комиссия вскрывает конверты с заявками на участие в конкурсе после наступления срока, указанного в конкурсной документации. Конверты с заявками на участие в </w:t>
      </w:r>
      <w:r>
        <w:lastRenderedPageBreak/>
        <w:t>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A63958" w:rsidRDefault="00A63958">
      <w:pPr>
        <w:pStyle w:val="ConsPlusNormal"/>
        <w:spacing w:before="220"/>
        <w:ind w:firstLine="540"/>
        <w:jc w:val="both"/>
      </w:pPr>
      <w:r>
        <w:t>27. Организатор конкурса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A63958" w:rsidRDefault="00A63958">
      <w:pPr>
        <w:pStyle w:val="ConsPlusNormal"/>
        <w:spacing w:before="220"/>
        <w:ind w:firstLine="540"/>
        <w:jc w:val="both"/>
      </w:pPr>
      <w:r>
        <w:t>28.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конкурсная комиссия объявляет последствия подачи двух и более заявок на участие в конкурсе одним участником конкурса.</w:t>
      </w:r>
    </w:p>
    <w:p w:rsidR="00A63958" w:rsidRDefault="00A63958">
      <w:pPr>
        <w:pStyle w:val="ConsPlusNormal"/>
        <w:spacing w:before="220"/>
        <w:ind w:firstLine="540"/>
        <w:jc w:val="both"/>
      </w:pPr>
      <w:r>
        <w:t xml:space="preserve">29. Конкурсная комиссия вскрывает конверты с заявками на участие в конкурсе, если такие конверты и заявки поступили заказчику до вскрытия таких конвертов. В случае установления факта подачи одним участником конкурса двух и более заявок на участие в конкурсе при условии, что поданные ранее этим участником заявки на участие в конкурсе не отозваны, все заявки на участие в конкурсе этого участника не </w:t>
      </w:r>
      <w:proofErr w:type="gramStart"/>
      <w:r>
        <w:t>рассматриваются и возвращаются</w:t>
      </w:r>
      <w:proofErr w:type="gramEnd"/>
      <w:r>
        <w:t xml:space="preserve"> этому участнику.</w:t>
      </w:r>
    </w:p>
    <w:p w:rsidR="00A63958" w:rsidRDefault="00A63958">
      <w:pPr>
        <w:pStyle w:val="ConsPlusNormal"/>
        <w:spacing w:before="220"/>
        <w:ind w:firstLine="540"/>
        <w:jc w:val="both"/>
      </w:pPr>
      <w:r>
        <w:t xml:space="preserve">30. 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t>конверт</w:t>
      </w:r>
      <w:proofErr w:type="gramEnd"/>
      <w:r>
        <w:t xml:space="preserve">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w:t>
      </w:r>
      <w:proofErr w:type="gramStart"/>
      <w:r>
        <w:t>объявляются при вскрытии данных конвертов и вносятся</w:t>
      </w:r>
      <w:proofErr w:type="gramEnd"/>
      <w:r>
        <w:t xml:space="preserve">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t>несостоявшимся</w:t>
      </w:r>
      <w:proofErr w:type="gramEnd"/>
      <w:r>
        <w:t>.</w:t>
      </w:r>
    </w:p>
    <w:p w:rsidR="00A63958" w:rsidRDefault="00A63958">
      <w:pPr>
        <w:pStyle w:val="ConsPlusNormal"/>
        <w:spacing w:before="220"/>
        <w:ind w:firstLine="540"/>
        <w:jc w:val="both"/>
      </w:pPr>
      <w:r>
        <w:t>31. Протокол вскрытия конвертов с заявками на участие в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на официальном сайте организатора конкурса (http://gkh.admsakhalin.ru/).</w:t>
      </w:r>
    </w:p>
    <w:p w:rsidR="00A63958" w:rsidRDefault="00A63958">
      <w:pPr>
        <w:pStyle w:val="ConsPlusNormal"/>
        <w:spacing w:before="220"/>
        <w:ind w:firstLine="540"/>
        <w:jc w:val="both"/>
      </w:pPr>
      <w:r>
        <w:t xml:space="preserve">32. Срок рассмотрения и оценки заявок на участие в конкурсе не может превышать семи дней </w:t>
      </w:r>
      <w:proofErr w:type="gramStart"/>
      <w:r>
        <w:t>с даты вскрытия</w:t>
      </w:r>
      <w:proofErr w:type="gramEnd"/>
      <w:r>
        <w:t xml:space="preserve"> конвертов с такими заявками.</w:t>
      </w:r>
    </w:p>
    <w:p w:rsidR="00A63958" w:rsidRDefault="00A63958">
      <w:pPr>
        <w:pStyle w:val="ConsPlusNormal"/>
        <w:spacing w:before="220"/>
        <w:ind w:firstLine="540"/>
        <w:jc w:val="both"/>
      </w:pPr>
      <w:r>
        <w:t xml:space="preserve">33. Заявка на участие в конкурсе признается надлежащей, если она соответствует извещению о проведении конкурса и конкурсной документации, а участник закупки, подавший такую заявку, соответствует требованиям, которые </w:t>
      </w:r>
      <w:proofErr w:type="gramStart"/>
      <w:r>
        <w:t>предъявляются к участнику конкурса и указаны</w:t>
      </w:r>
      <w:proofErr w:type="gramEnd"/>
      <w:r>
        <w:t xml:space="preserve"> в конкурсной документации.</w:t>
      </w:r>
    </w:p>
    <w:p w:rsidR="00A63958" w:rsidRDefault="00A63958">
      <w:pPr>
        <w:pStyle w:val="ConsPlusNormal"/>
        <w:spacing w:before="220"/>
        <w:ind w:firstLine="540"/>
        <w:jc w:val="both"/>
      </w:pPr>
      <w:r>
        <w:t>34.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63958" w:rsidRDefault="00A63958">
      <w:pPr>
        <w:pStyle w:val="ConsPlusNormal"/>
        <w:spacing w:before="220"/>
        <w:ind w:firstLine="540"/>
        <w:jc w:val="both"/>
      </w:pPr>
      <w:r>
        <w:t>35. В случае установления недостоверности информации, содержащейся в документах, конкурсная комиссия обязана отстранить такого участника от участия в конкурсе на любом этапе его проведения.</w:t>
      </w:r>
    </w:p>
    <w:p w:rsidR="00A63958" w:rsidRDefault="00A63958">
      <w:pPr>
        <w:pStyle w:val="ConsPlusNormal"/>
        <w:spacing w:before="220"/>
        <w:ind w:firstLine="540"/>
        <w:jc w:val="both"/>
      </w:pPr>
      <w:r>
        <w:t xml:space="preserve">36. Результаты рассмотрения заявок на участие в конкурсе фиксируются в протоколе </w:t>
      </w:r>
      <w:r>
        <w:lastRenderedPageBreak/>
        <w:t>рассмотрения и оценки заявок на участие в конкурсе.</w:t>
      </w:r>
    </w:p>
    <w:p w:rsidR="00A63958" w:rsidRDefault="00A63958">
      <w:pPr>
        <w:pStyle w:val="ConsPlusNormal"/>
        <w:spacing w:before="220"/>
        <w:ind w:firstLine="540"/>
        <w:jc w:val="both"/>
      </w:pPr>
      <w:r>
        <w:t xml:space="preserve">37.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w:t>
      </w:r>
      <w:hyperlink w:anchor="P139" w:history="1">
        <w:r>
          <w:rPr>
            <w:color w:val="0000FF"/>
          </w:rPr>
          <w:t>пункте 42</w:t>
        </w:r>
      </w:hyperlink>
      <w:r>
        <w:t xml:space="preserve"> настоящего Порядка.</w:t>
      </w:r>
    </w:p>
    <w:p w:rsidR="00A63958" w:rsidRDefault="00A63958">
      <w:pPr>
        <w:pStyle w:val="ConsPlusNormal"/>
        <w:spacing w:before="220"/>
        <w:ind w:firstLine="540"/>
        <w:jc w:val="both"/>
      </w:pPr>
      <w:r>
        <w:t>38.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63958" w:rsidRDefault="00A63958">
      <w:pPr>
        <w:pStyle w:val="ConsPlusNormal"/>
        <w:spacing w:before="220"/>
        <w:ind w:firstLine="540"/>
        <w:jc w:val="both"/>
      </w:pPr>
      <w:r>
        <w:t>39.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63958" w:rsidRDefault="00A63958">
      <w:pPr>
        <w:pStyle w:val="ConsPlusNormal"/>
        <w:spacing w:before="220"/>
        <w:ind w:firstLine="540"/>
        <w:jc w:val="both"/>
      </w:pPr>
      <w:r>
        <w:t xml:space="preserve">40. Победителем конкурса признается участник конкурса, который предложил лучшие условия исполнения контракта на основе критериев, указанных в </w:t>
      </w:r>
      <w:hyperlink w:anchor="P139" w:history="1">
        <w:r>
          <w:rPr>
            <w:color w:val="0000FF"/>
          </w:rPr>
          <w:t>пункте 42</w:t>
        </w:r>
      </w:hyperlink>
      <w:r>
        <w:t xml:space="preserve"> настоящего Порядка, и заявке на </w:t>
      </w:r>
      <w:proofErr w:type="gramStart"/>
      <w:r>
        <w:t>участие</w:t>
      </w:r>
      <w:proofErr w:type="gramEnd"/>
      <w:r>
        <w:t xml:space="preserve"> в конкурсе которого присвоен первый номер. В случае если по результатам рассмотрения заявок только одна заявка соответствует требованиям, указанным в конкурсной документации, договор может быть заключен с единственным участником конкурса.</w:t>
      </w:r>
    </w:p>
    <w:p w:rsidR="00A63958" w:rsidRDefault="00A63958">
      <w:pPr>
        <w:pStyle w:val="ConsPlusNormal"/>
        <w:spacing w:before="220"/>
        <w:ind w:firstLine="540"/>
        <w:jc w:val="both"/>
      </w:pPr>
      <w:r>
        <w:t>41. Результаты рассмотрения и оценки заявок на участие в конкурсе фиксируются в протоколе рассмотрения и оценки заявок, в котором должна содержаться следующая информация:</w:t>
      </w:r>
    </w:p>
    <w:p w:rsidR="00A63958" w:rsidRDefault="00A63958">
      <w:pPr>
        <w:pStyle w:val="ConsPlusNormal"/>
        <w:spacing w:before="220"/>
        <w:ind w:firstLine="540"/>
        <w:jc w:val="both"/>
      </w:pPr>
      <w:r>
        <w:t>- место, дата, время проведения рассмотрения и оценки таких заявок;</w:t>
      </w:r>
    </w:p>
    <w:p w:rsidR="00A63958" w:rsidRDefault="00A63958">
      <w:pPr>
        <w:pStyle w:val="ConsPlusNormal"/>
        <w:spacing w:before="220"/>
        <w:ind w:firstLine="540"/>
        <w:jc w:val="both"/>
      </w:pPr>
      <w:r>
        <w:t>- информация об участниках конкурса, заявки на участие в конкурсе которых были рассмотрены;</w:t>
      </w:r>
    </w:p>
    <w:p w:rsidR="00A63958" w:rsidRDefault="00A63958">
      <w:pPr>
        <w:pStyle w:val="ConsPlusNormal"/>
        <w:spacing w:before="220"/>
        <w:ind w:firstLine="540"/>
        <w:jc w:val="both"/>
      </w:pPr>
      <w:r>
        <w:t>- информация об участниках конкурса, заявки на участие в конкурсе которых были отклонены, с указанием причин их отклонения, предложений, содержащихся в заявках на участие в конкурсе и не соответствующих требованиям конкурсной документации;</w:t>
      </w:r>
    </w:p>
    <w:p w:rsidR="00A63958" w:rsidRDefault="00A63958">
      <w:pPr>
        <w:pStyle w:val="ConsPlusNormal"/>
        <w:spacing w:before="220"/>
        <w:ind w:firstLine="540"/>
        <w:jc w:val="both"/>
      </w:pPr>
      <w:r>
        <w:t>- решение каждого члена комиссии об отклонении заявок на участие в конкурсе;</w:t>
      </w:r>
    </w:p>
    <w:p w:rsidR="00A63958" w:rsidRDefault="00A63958">
      <w:pPr>
        <w:pStyle w:val="ConsPlusNormal"/>
        <w:spacing w:before="220"/>
        <w:ind w:firstLine="540"/>
        <w:jc w:val="both"/>
      </w:pPr>
      <w:r>
        <w:t>- порядок оценки заявок на участие в конкурсе;</w:t>
      </w:r>
    </w:p>
    <w:p w:rsidR="00A63958" w:rsidRDefault="00A63958">
      <w:pPr>
        <w:pStyle w:val="ConsPlusNormal"/>
        <w:spacing w:before="220"/>
        <w:ind w:firstLine="540"/>
        <w:jc w:val="both"/>
      </w:pPr>
      <w:r>
        <w:t xml:space="preserve">- присвоенные заявкам </w:t>
      </w:r>
      <w:proofErr w:type="gramStart"/>
      <w:r>
        <w:t>на участие в конкурсе значения по каждому из предусмотренных критериев оценки заявок на участие</w:t>
      </w:r>
      <w:proofErr w:type="gramEnd"/>
      <w:r>
        <w:t xml:space="preserve"> в конкурсе;</w:t>
      </w:r>
    </w:p>
    <w:p w:rsidR="00A63958" w:rsidRDefault="00A63958">
      <w:pPr>
        <w:pStyle w:val="ConsPlusNormal"/>
        <w:spacing w:before="220"/>
        <w:ind w:firstLine="540"/>
        <w:jc w:val="both"/>
      </w:pPr>
      <w:r>
        <w:t>- принятое на основании результатов оценки заявок на участие в конкурсе решение о присвоении таким заявкам порядковых номеров;</w:t>
      </w:r>
    </w:p>
    <w:p w:rsidR="00A63958" w:rsidRDefault="00A63958">
      <w:pPr>
        <w:pStyle w:val="ConsPlusNormal"/>
        <w:spacing w:before="220"/>
        <w:ind w:firstLine="540"/>
        <w:jc w:val="both"/>
      </w:pPr>
      <w: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A63958" w:rsidRDefault="00A63958">
      <w:pPr>
        <w:pStyle w:val="ConsPlusNormal"/>
        <w:spacing w:before="220"/>
        <w:ind w:firstLine="540"/>
        <w:jc w:val="both"/>
      </w:pPr>
      <w:bookmarkStart w:id="1" w:name="P139"/>
      <w:bookmarkEnd w:id="1"/>
      <w:r>
        <w:t>42. Оценка и сопоставление заявок на участие в конкурсе и определение победителя осуществляется комиссией с использованием следующих критериев оценки заявок:</w:t>
      </w:r>
    </w:p>
    <w:p w:rsidR="00A63958" w:rsidRDefault="00A63958">
      <w:pPr>
        <w:sectPr w:rsidR="00A63958" w:rsidSect="00774053">
          <w:pgSz w:w="11906" w:h="16838"/>
          <w:pgMar w:top="1134" w:right="850" w:bottom="1134" w:left="1701" w:header="708" w:footer="708" w:gutter="0"/>
          <w:cols w:space="708"/>
          <w:docGrid w:linePitch="360"/>
        </w:sectPr>
      </w:pPr>
    </w:p>
    <w:p w:rsidR="00A63958" w:rsidRDefault="00A6395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520"/>
        <w:gridCol w:w="2608"/>
      </w:tblGrid>
      <w:tr w:rsidR="00A63958">
        <w:tc>
          <w:tcPr>
            <w:tcW w:w="510" w:type="dxa"/>
          </w:tcPr>
          <w:p w:rsidR="00A63958" w:rsidRDefault="00A63958">
            <w:pPr>
              <w:pStyle w:val="ConsPlusNormal"/>
              <w:jc w:val="center"/>
            </w:pPr>
            <w:r>
              <w:t>N пп.</w:t>
            </w:r>
          </w:p>
        </w:tc>
        <w:tc>
          <w:tcPr>
            <w:tcW w:w="6520" w:type="dxa"/>
          </w:tcPr>
          <w:p w:rsidR="00A63958" w:rsidRDefault="00A63958">
            <w:pPr>
              <w:pStyle w:val="ConsPlusNormal"/>
              <w:jc w:val="center"/>
            </w:pPr>
            <w:r>
              <w:t>Критерий оценки заявок</w:t>
            </w:r>
          </w:p>
        </w:tc>
        <w:tc>
          <w:tcPr>
            <w:tcW w:w="2608" w:type="dxa"/>
          </w:tcPr>
          <w:p w:rsidR="00A63958" w:rsidRDefault="00A63958">
            <w:pPr>
              <w:pStyle w:val="ConsPlusNormal"/>
              <w:jc w:val="center"/>
            </w:pPr>
            <w:r>
              <w:t>Значимость критерия оценки заявок, %</w:t>
            </w:r>
          </w:p>
        </w:tc>
      </w:tr>
      <w:tr w:rsidR="00A63958">
        <w:tc>
          <w:tcPr>
            <w:tcW w:w="510" w:type="dxa"/>
          </w:tcPr>
          <w:p w:rsidR="00A63958" w:rsidRDefault="00A63958">
            <w:pPr>
              <w:pStyle w:val="ConsPlusNormal"/>
              <w:jc w:val="center"/>
            </w:pPr>
            <w:r>
              <w:t>1.</w:t>
            </w:r>
          </w:p>
        </w:tc>
        <w:tc>
          <w:tcPr>
            <w:tcW w:w="6520" w:type="dxa"/>
          </w:tcPr>
          <w:p w:rsidR="00A63958" w:rsidRDefault="00A63958">
            <w:pPr>
              <w:pStyle w:val="ConsPlusNormal"/>
            </w:pPr>
            <w:r>
              <w:t>Цена договора</w:t>
            </w:r>
          </w:p>
        </w:tc>
        <w:tc>
          <w:tcPr>
            <w:tcW w:w="2608" w:type="dxa"/>
          </w:tcPr>
          <w:p w:rsidR="00A63958" w:rsidRDefault="00A63958">
            <w:pPr>
              <w:pStyle w:val="ConsPlusNormal"/>
              <w:jc w:val="center"/>
            </w:pPr>
            <w:r>
              <w:t>60</w:t>
            </w:r>
          </w:p>
        </w:tc>
      </w:tr>
      <w:tr w:rsidR="00A63958">
        <w:tc>
          <w:tcPr>
            <w:tcW w:w="510" w:type="dxa"/>
          </w:tcPr>
          <w:p w:rsidR="00A63958" w:rsidRDefault="00A63958">
            <w:pPr>
              <w:pStyle w:val="ConsPlusNormal"/>
              <w:jc w:val="center"/>
            </w:pPr>
            <w:r>
              <w:t>2.</w:t>
            </w:r>
          </w:p>
        </w:tc>
        <w:tc>
          <w:tcPr>
            <w:tcW w:w="6520" w:type="dxa"/>
          </w:tcPr>
          <w:p w:rsidR="00A63958" w:rsidRDefault="00A63958">
            <w:pPr>
              <w:pStyle w:val="ConsPlusNormal"/>
            </w:pPr>
            <w:r>
              <w:t>Качество услуг и квалификация участника конкурса</w:t>
            </w:r>
          </w:p>
        </w:tc>
        <w:tc>
          <w:tcPr>
            <w:tcW w:w="2608" w:type="dxa"/>
          </w:tcPr>
          <w:p w:rsidR="00A63958" w:rsidRDefault="00A63958">
            <w:pPr>
              <w:pStyle w:val="ConsPlusNormal"/>
              <w:jc w:val="center"/>
            </w:pPr>
            <w:r>
              <w:t>40</w:t>
            </w:r>
          </w:p>
        </w:tc>
      </w:tr>
      <w:tr w:rsidR="00A63958">
        <w:tc>
          <w:tcPr>
            <w:tcW w:w="7030" w:type="dxa"/>
            <w:gridSpan w:val="2"/>
          </w:tcPr>
          <w:p w:rsidR="00A63958" w:rsidRDefault="00A63958">
            <w:pPr>
              <w:pStyle w:val="ConsPlusNormal"/>
            </w:pPr>
            <w:r>
              <w:t>Итого</w:t>
            </w:r>
          </w:p>
        </w:tc>
        <w:tc>
          <w:tcPr>
            <w:tcW w:w="2608" w:type="dxa"/>
          </w:tcPr>
          <w:p w:rsidR="00A63958" w:rsidRDefault="00A63958">
            <w:pPr>
              <w:pStyle w:val="ConsPlusNormal"/>
              <w:jc w:val="center"/>
            </w:pPr>
            <w:r>
              <w:t>100</w:t>
            </w:r>
          </w:p>
        </w:tc>
      </w:tr>
    </w:tbl>
    <w:p w:rsidR="00A63958" w:rsidRDefault="00A63958">
      <w:pPr>
        <w:sectPr w:rsidR="00A63958">
          <w:pgSz w:w="16838" w:h="11905" w:orient="landscape"/>
          <w:pgMar w:top="1701" w:right="1134" w:bottom="850" w:left="1134" w:header="0" w:footer="0" w:gutter="0"/>
          <w:cols w:space="720"/>
        </w:sectPr>
      </w:pPr>
    </w:p>
    <w:p w:rsidR="00A63958" w:rsidRDefault="00A63958">
      <w:pPr>
        <w:pStyle w:val="ConsPlusNormal"/>
        <w:ind w:firstLine="540"/>
        <w:jc w:val="both"/>
      </w:pPr>
    </w:p>
    <w:p w:rsidR="00A63958" w:rsidRDefault="00A63958">
      <w:pPr>
        <w:pStyle w:val="ConsPlusNormal"/>
        <w:ind w:firstLine="540"/>
        <w:jc w:val="both"/>
      </w:pPr>
      <w:r>
        <w:t>Термины, использованные в данном пункте:</w:t>
      </w:r>
    </w:p>
    <w:p w:rsidR="00A63958" w:rsidRDefault="00A63958">
      <w:pPr>
        <w:pStyle w:val="ConsPlusNormal"/>
        <w:spacing w:before="220"/>
        <w:ind w:firstLine="540"/>
        <w:jc w:val="both"/>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конкурсе, лучших условий исполнения контракта, указанных в заявках (предложениях) участников закупки, которые не были отклонены;</w:t>
      </w:r>
    </w:p>
    <w:p w:rsidR="00A63958" w:rsidRDefault="00A63958">
      <w:pPr>
        <w:pStyle w:val="ConsPlusNormal"/>
        <w:spacing w:before="220"/>
        <w:ind w:firstLine="540"/>
        <w:jc w:val="both"/>
      </w:pPr>
      <w:r>
        <w:t>"значимость критерия оценки" - вес критерия оценки в совокупности критериев оценки, установленных в документации о конкурсе, выраженный в процентах;</w:t>
      </w:r>
    </w:p>
    <w:p w:rsidR="00A63958" w:rsidRDefault="00A63958">
      <w:pPr>
        <w:pStyle w:val="ConsPlusNormal"/>
        <w:spacing w:before="220"/>
        <w:ind w:firstLine="540"/>
        <w:jc w:val="both"/>
      </w:pPr>
      <w:r>
        <w:t>"коэффициент значимости критерия оценки" - вес критерия оценки в совокупности критериев оценки, установленных в документации о конкурсе, деленный на 100;</w:t>
      </w:r>
    </w:p>
    <w:p w:rsidR="00A63958" w:rsidRDefault="00A63958">
      <w:pPr>
        <w:pStyle w:val="ConsPlusNormal"/>
        <w:spacing w:before="220"/>
        <w:ind w:firstLine="540"/>
        <w:jc w:val="both"/>
      </w:pPr>
      <w:r>
        <w:t>"рейтинг заявки (предложения)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A63958" w:rsidRDefault="00A63958">
      <w:pPr>
        <w:pStyle w:val="ConsPlusNormal"/>
        <w:spacing w:before="220"/>
        <w:ind w:firstLine="540"/>
        <w:jc w:val="both"/>
      </w:pPr>
      <w:r>
        <w:t>1) Порядок оценки заявок по критерию "Цена договора".</w:t>
      </w:r>
    </w:p>
    <w:p w:rsidR="00A63958" w:rsidRDefault="00A63958">
      <w:pPr>
        <w:pStyle w:val="ConsPlusNormal"/>
        <w:spacing w:before="220"/>
        <w:ind w:firstLine="540"/>
        <w:jc w:val="both"/>
      </w:pPr>
      <w:r>
        <w:t>Значимость критерия - 60%.</w:t>
      </w:r>
    </w:p>
    <w:p w:rsidR="00A63958" w:rsidRDefault="00A63958">
      <w:pPr>
        <w:pStyle w:val="ConsPlusNormal"/>
        <w:spacing w:before="220"/>
        <w:ind w:firstLine="540"/>
        <w:jc w:val="both"/>
      </w:pPr>
      <w:r>
        <w:t>Коэффициент значимости критерия - 0,6.</w:t>
      </w:r>
    </w:p>
    <w:p w:rsidR="00A63958" w:rsidRDefault="00A63958">
      <w:pPr>
        <w:pStyle w:val="ConsPlusNormal"/>
        <w:spacing w:before="220"/>
        <w:ind w:firstLine="540"/>
        <w:jc w:val="both"/>
      </w:pPr>
      <w:r>
        <w:t>Единица измерения цены контракта - рубль.</w:t>
      </w:r>
    </w:p>
    <w:p w:rsidR="00A63958" w:rsidRDefault="00A63958">
      <w:pPr>
        <w:pStyle w:val="ConsPlusNormal"/>
        <w:spacing w:before="220"/>
        <w:ind w:firstLine="540"/>
        <w:jc w:val="both"/>
      </w:pPr>
      <w:r>
        <w:t>Количество баллов, присуждаемых по критерию оценки "цена контракта", определяется по формуле:</w:t>
      </w:r>
    </w:p>
    <w:p w:rsidR="00A63958" w:rsidRDefault="00A63958">
      <w:pPr>
        <w:pStyle w:val="ConsPlusNormal"/>
        <w:jc w:val="center"/>
      </w:pPr>
    </w:p>
    <w:p w:rsidR="00A63958" w:rsidRDefault="00A63958">
      <w:pPr>
        <w:pStyle w:val="ConsPlusNormal"/>
        <w:jc w:val="center"/>
      </w:pPr>
      <w:r>
        <w:t xml:space="preserve">R = </w:t>
      </w:r>
      <w:proofErr w:type="gramStart"/>
      <w:r>
        <w:t>Ц</w:t>
      </w:r>
      <w:proofErr w:type="gramEnd"/>
      <w:r>
        <w:t>min / Цi x 100,</w:t>
      </w:r>
    </w:p>
    <w:p w:rsidR="00A63958" w:rsidRDefault="00A63958">
      <w:pPr>
        <w:pStyle w:val="ConsPlusNormal"/>
        <w:jc w:val="center"/>
      </w:pPr>
    </w:p>
    <w:p w:rsidR="00A63958" w:rsidRDefault="00A63958">
      <w:pPr>
        <w:pStyle w:val="ConsPlusNormal"/>
        <w:ind w:firstLine="540"/>
        <w:jc w:val="both"/>
      </w:pPr>
      <w:r>
        <w:t>где:</w:t>
      </w:r>
    </w:p>
    <w:p w:rsidR="00A63958" w:rsidRDefault="00A63958">
      <w:pPr>
        <w:pStyle w:val="ConsPlusNormal"/>
        <w:spacing w:before="220"/>
        <w:ind w:firstLine="540"/>
        <w:jc w:val="both"/>
      </w:pPr>
      <w:proofErr w:type="gramStart"/>
      <w:r>
        <w:t>Ц</w:t>
      </w:r>
      <w:proofErr w:type="gramEnd"/>
      <w:r>
        <w:t>min - минимальное предложение из предложений по критерию оценки, сделанных участниками конкурса;</w:t>
      </w:r>
    </w:p>
    <w:p w:rsidR="00A63958" w:rsidRDefault="00A63958">
      <w:pPr>
        <w:pStyle w:val="ConsPlusNormal"/>
        <w:spacing w:before="220"/>
        <w:ind w:firstLine="540"/>
        <w:jc w:val="both"/>
      </w:pPr>
      <w:r>
        <w:t>Ц</w:t>
      </w:r>
      <w:proofErr w:type="gramStart"/>
      <w:r>
        <w:t>i</w:t>
      </w:r>
      <w:proofErr w:type="gramEnd"/>
      <w:r>
        <w:t xml:space="preserve"> - предложение участника конкурса, заявка которого оценивается.</w:t>
      </w:r>
    </w:p>
    <w:p w:rsidR="00A63958" w:rsidRDefault="00A63958">
      <w:pPr>
        <w:pStyle w:val="ConsPlusNormal"/>
        <w:spacing w:before="220"/>
        <w:ind w:firstLine="540"/>
        <w:jc w:val="both"/>
      </w:pPr>
      <w: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63958" w:rsidRDefault="00A63958">
      <w:pPr>
        <w:pStyle w:val="ConsPlusNormal"/>
        <w:spacing w:before="220"/>
        <w:ind w:firstLine="540"/>
        <w:jc w:val="both"/>
      </w:pPr>
      <w:r>
        <w:t>При оценке заявок по данному критерию "цена договора" лучшим условием признается предложение участника конкурса с наименьшей ценой договора.</w:t>
      </w:r>
    </w:p>
    <w:p w:rsidR="00A63958" w:rsidRDefault="00A63958">
      <w:pPr>
        <w:pStyle w:val="ConsPlusNormal"/>
        <w:spacing w:before="220"/>
        <w:ind w:firstLine="540"/>
        <w:jc w:val="both"/>
      </w:pPr>
      <w:r>
        <w:t>2) Порядок оценки заявок по критерию "Качество услуг и квалификация участника конкурса при размещении заказа на оказание услуг".</w:t>
      </w:r>
    </w:p>
    <w:p w:rsidR="00A63958" w:rsidRDefault="00A63958">
      <w:pPr>
        <w:pStyle w:val="ConsPlusNormal"/>
        <w:spacing w:before="220"/>
        <w:ind w:firstLine="540"/>
        <w:jc w:val="both"/>
      </w:pPr>
      <w:r>
        <w:t>Значимость критерия - 40%.</w:t>
      </w:r>
    </w:p>
    <w:p w:rsidR="00A63958" w:rsidRDefault="00A63958">
      <w:pPr>
        <w:pStyle w:val="ConsPlusNormal"/>
        <w:spacing w:before="220"/>
        <w:ind w:firstLine="540"/>
        <w:jc w:val="both"/>
      </w:pPr>
      <w:r>
        <w:t>Коэффициент значимости критерия - 0,4.</w:t>
      </w:r>
    </w:p>
    <w:p w:rsidR="00A63958" w:rsidRDefault="00A63958">
      <w:pPr>
        <w:pStyle w:val="ConsPlusNormal"/>
        <w:spacing w:before="220"/>
        <w:ind w:firstLine="540"/>
        <w:jc w:val="both"/>
      </w:pPr>
      <w:r>
        <w:t>Для оценки заявок по критерию "Качество услуг и квалификация участника конкурса" каждой заявке выставляется значение от 0 до 100 баллов. Сумма максимальных значений всех показателей этого критерия, установленных в настоящей конкурсной документации, составляет 100 баллов.</w:t>
      </w:r>
    </w:p>
    <w:p w:rsidR="00A63958" w:rsidRDefault="00A63958">
      <w:pPr>
        <w:pStyle w:val="ConsPlusNormal"/>
        <w:spacing w:before="220"/>
        <w:ind w:firstLine="540"/>
        <w:jc w:val="both"/>
      </w:pPr>
      <w:r>
        <w:t xml:space="preserve">Предмет оценки и перечень показателей по критерию "Качество услуг и квалификация </w:t>
      </w:r>
      <w:r>
        <w:lastRenderedPageBreak/>
        <w:t>участника конкурса" при проведении оценки заявок участников конкурса, поданных на участие в настоящем конкурсе:</w:t>
      </w:r>
    </w:p>
    <w:p w:rsidR="00A63958" w:rsidRDefault="00A63958">
      <w:pPr>
        <w:sectPr w:rsidR="00A63958">
          <w:pgSz w:w="11905" w:h="16838"/>
          <w:pgMar w:top="1134" w:right="850" w:bottom="1134" w:left="1701" w:header="0" w:footer="0" w:gutter="0"/>
          <w:cols w:space="720"/>
        </w:sectPr>
      </w:pPr>
    </w:p>
    <w:p w:rsidR="00A63958" w:rsidRDefault="00A63958">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5468"/>
        <w:gridCol w:w="1871"/>
        <w:gridCol w:w="1757"/>
      </w:tblGrid>
      <w:tr w:rsidR="00A63958">
        <w:tc>
          <w:tcPr>
            <w:tcW w:w="534" w:type="dxa"/>
          </w:tcPr>
          <w:p w:rsidR="00A63958" w:rsidRDefault="00A63958">
            <w:pPr>
              <w:pStyle w:val="ConsPlusNormal"/>
              <w:jc w:val="center"/>
            </w:pPr>
            <w:r>
              <w:t>N пп.</w:t>
            </w:r>
          </w:p>
        </w:tc>
        <w:tc>
          <w:tcPr>
            <w:tcW w:w="5468" w:type="dxa"/>
          </w:tcPr>
          <w:p w:rsidR="00A63958" w:rsidRDefault="00A63958">
            <w:pPr>
              <w:pStyle w:val="ConsPlusNormal"/>
              <w:jc w:val="center"/>
            </w:pPr>
            <w:r>
              <w:t>Показатели по критерию "Качество услуг и квалификация участника конкурса"</w:t>
            </w:r>
          </w:p>
        </w:tc>
        <w:tc>
          <w:tcPr>
            <w:tcW w:w="1871" w:type="dxa"/>
          </w:tcPr>
          <w:p w:rsidR="00A63958" w:rsidRDefault="00A63958">
            <w:pPr>
              <w:pStyle w:val="ConsPlusNormal"/>
              <w:jc w:val="center"/>
            </w:pPr>
            <w:r>
              <w:t>Количество баллов, присваиваемых по каждому из показателей указанного критерия</w:t>
            </w:r>
          </w:p>
        </w:tc>
        <w:tc>
          <w:tcPr>
            <w:tcW w:w="1757" w:type="dxa"/>
          </w:tcPr>
          <w:p w:rsidR="00A63958" w:rsidRDefault="00A63958">
            <w:pPr>
              <w:pStyle w:val="ConsPlusNormal"/>
              <w:jc w:val="center"/>
            </w:pPr>
            <w:r>
              <w:t>Максимальное значение в баллах для каждого показателя указанного критерия</w:t>
            </w:r>
          </w:p>
        </w:tc>
      </w:tr>
      <w:tr w:rsidR="00A63958">
        <w:tc>
          <w:tcPr>
            <w:tcW w:w="534" w:type="dxa"/>
            <w:vMerge w:val="restart"/>
          </w:tcPr>
          <w:p w:rsidR="00A63958" w:rsidRDefault="00A63958">
            <w:pPr>
              <w:pStyle w:val="ConsPlusNormal"/>
              <w:jc w:val="center"/>
            </w:pPr>
            <w:r>
              <w:t>1.</w:t>
            </w:r>
          </w:p>
        </w:tc>
        <w:tc>
          <w:tcPr>
            <w:tcW w:w="5468" w:type="dxa"/>
          </w:tcPr>
          <w:p w:rsidR="00A63958" w:rsidRDefault="00A63958">
            <w:pPr>
              <w:pStyle w:val="ConsPlusNormal"/>
            </w:pPr>
            <w:r>
              <w:t>Опыт работы на рынке аудиторских услуг</w:t>
            </w:r>
          </w:p>
        </w:tc>
        <w:tc>
          <w:tcPr>
            <w:tcW w:w="1871" w:type="dxa"/>
          </w:tcPr>
          <w:p w:rsidR="00A63958" w:rsidRDefault="00A63958">
            <w:pPr>
              <w:pStyle w:val="ConsPlusNormal"/>
              <w:jc w:val="center"/>
            </w:pPr>
            <w:r>
              <w:t>от 0 до 30 баллов</w:t>
            </w:r>
          </w:p>
        </w:tc>
        <w:tc>
          <w:tcPr>
            <w:tcW w:w="1757" w:type="dxa"/>
            <w:vMerge w:val="restart"/>
          </w:tcPr>
          <w:p w:rsidR="00A63958" w:rsidRDefault="00A63958">
            <w:pPr>
              <w:pStyle w:val="ConsPlusNormal"/>
              <w:jc w:val="center"/>
            </w:pPr>
            <w:r>
              <w:t>30 баллов</w:t>
            </w:r>
          </w:p>
        </w:tc>
      </w:tr>
      <w:tr w:rsidR="00A63958">
        <w:tc>
          <w:tcPr>
            <w:tcW w:w="534" w:type="dxa"/>
            <w:vMerge/>
          </w:tcPr>
          <w:p w:rsidR="00A63958" w:rsidRDefault="00A63958"/>
        </w:tc>
        <w:tc>
          <w:tcPr>
            <w:tcW w:w="5468" w:type="dxa"/>
          </w:tcPr>
          <w:p w:rsidR="00A63958" w:rsidRDefault="00A63958">
            <w:pPr>
              <w:pStyle w:val="ConsPlusNormal"/>
            </w:pPr>
            <w:r>
              <w:t>Менее года</w:t>
            </w:r>
          </w:p>
        </w:tc>
        <w:tc>
          <w:tcPr>
            <w:tcW w:w="1871" w:type="dxa"/>
          </w:tcPr>
          <w:p w:rsidR="00A63958" w:rsidRDefault="00A63958">
            <w:pPr>
              <w:pStyle w:val="ConsPlusNormal"/>
              <w:jc w:val="center"/>
            </w:pPr>
            <w:r>
              <w:t>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До трех лет</w:t>
            </w:r>
          </w:p>
        </w:tc>
        <w:tc>
          <w:tcPr>
            <w:tcW w:w="1871" w:type="dxa"/>
          </w:tcPr>
          <w:p w:rsidR="00A63958" w:rsidRDefault="00A63958">
            <w:pPr>
              <w:pStyle w:val="ConsPlusNormal"/>
              <w:jc w:val="center"/>
            </w:pPr>
            <w:r>
              <w:t>5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трех до пяти лет</w:t>
            </w:r>
          </w:p>
        </w:tc>
        <w:tc>
          <w:tcPr>
            <w:tcW w:w="1871" w:type="dxa"/>
          </w:tcPr>
          <w:p w:rsidR="00A63958" w:rsidRDefault="00A63958">
            <w:pPr>
              <w:pStyle w:val="ConsPlusNormal"/>
              <w:jc w:val="center"/>
            </w:pPr>
            <w:r>
              <w:t>10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пяти до десяти лет</w:t>
            </w:r>
          </w:p>
        </w:tc>
        <w:tc>
          <w:tcPr>
            <w:tcW w:w="1871" w:type="dxa"/>
          </w:tcPr>
          <w:p w:rsidR="00A63958" w:rsidRDefault="00A63958">
            <w:pPr>
              <w:pStyle w:val="ConsPlusNormal"/>
              <w:jc w:val="center"/>
            </w:pPr>
            <w:r>
              <w:t>20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Десять лет и более</w:t>
            </w:r>
          </w:p>
        </w:tc>
        <w:tc>
          <w:tcPr>
            <w:tcW w:w="1871" w:type="dxa"/>
          </w:tcPr>
          <w:p w:rsidR="00A63958" w:rsidRDefault="00A63958">
            <w:pPr>
              <w:pStyle w:val="ConsPlusNormal"/>
              <w:jc w:val="center"/>
            </w:pPr>
            <w:r>
              <w:t>30 баллов</w:t>
            </w:r>
          </w:p>
        </w:tc>
        <w:tc>
          <w:tcPr>
            <w:tcW w:w="1757" w:type="dxa"/>
            <w:vMerge/>
          </w:tcPr>
          <w:p w:rsidR="00A63958" w:rsidRDefault="00A63958"/>
        </w:tc>
      </w:tr>
      <w:tr w:rsidR="00A63958">
        <w:tc>
          <w:tcPr>
            <w:tcW w:w="534" w:type="dxa"/>
            <w:vMerge w:val="restart"/>
          </w:tcPr>
          <w:p w:rsidR="00A63958" w:rsidRDefault="00A63958">
            <w:pPr>
              <w:pStyle w:val="ConsPlusNormal"/>
              <w:jc w:val="center"/>
            </w:pPr>
            <w:r>
              <w:t>2.</w:t>
            </w:r>
          </w:p>
        </w:tc>
        <w:tc>
          <w:tcPr>
            <w:tcW w:w="5468" w:type="dxa"/>
          </w:tcPr>
          <w:p w:rsidR="00A63958" w:rsidRDefault="00A63958">
            <w:pPr>
              <w:pStyle w:val="ConsPlusNormal"/>
            </w:pPr>
            <w:r>
              <w:t>Количество выполненных и принятых заказчиками проверок за последние 3 года по обязательному аудиту финансовой (бухгалтерской) отчетности с выдачей аудиторского заключения (подтверждается актами сдачи-приемки работ)</w:t>
            </w:r>
          </w:p>
        </w:tc>
        <w:tc>
          <w:tcPr>
            <w:tcW w:w="1871" w:type="dxa"/>
          </w:tcPr>
          <w:p w:rsidR="00A63958" w:rsidRDefault="00A63958">
            <w:pPr>
              <w:pStyle w:val="ConsPlusNormal"/>
              <w:jc w:val="center"/>
            </w:pPr>
            <w:r>
              <w:t>от 0 до 20 баллов</w:t>
            </w:r>
          </w:p>
        </w:tc>
        <w:tc>
          <w:tcPr>
            <w:tcW w:w="1757" w:type="dxa"/>
            <w:vMerge w:val="restart"/>
          </w:tcPr>
          <w:p w:rsidR="00A63958" w:rsidRDefault="00A63958">
            <w:pPr>
              <w:pStyle w:val="ConsPlusNormal"/>
              <w:jc w:val="center"/>
            </w:pPr>
            <w:r>
              <w:t>20 баллов</w:t>
            </w:r>
          </w:p>
        </w:tc>
      </w:tr>
      <w:tr w:rsidR="00A63958">
        <w:tc>
          <w:tcPr>
            <w:tcW w:w="534" w:type="dxa"/>
            <w:vMerge/>
          </w:tcPr>
          <w:p w:rsidR="00A63958" w:rsidRDefault="00A63958"/>
        </w:tc>
        <w:tc>
          <w:tcPr>
            <w:tcW w:w="5468" w:type="dxa"/>
          </w:tcPr>
          <w:p w:rsidR="00A63958" w:rsidRDefault="00A63958">
            <w:pPr>
              <w:pStyle w:val="ConsPlusNormal"/>
            </w:pPr>
            <w:r>
              <w:t>Ни одного акта</w:t>
            </w:r>
          </w:p>
        </w:tc>
        <w:tc>
          <w:tcPr>
            <w:tcW w:w="1871" w:type="dxa"/>
          </w:tcPr>
          <w:p w:rsidR="00A63958" w:rsidRDefault="00A63958">
            <w:pPr>
              <w:pStyle w:val="ConsPlusNormal"/>
              <w:jc w:val="center"/>
            </w:pPr>
            <w:r>
              <w:t>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До трех актов</w:t>
            </w:r>
          </w:p>
        </w:tc>
        <w:tc>
          <w:tcPr>
            <w:tcW w:w="1871" w:type="dxa"/>
          </w:tcPr>
          <w:p w:rsidR="00A63958" w:rsidRDefault="00A63958">
            <w:pPr>
              <w:pStyle w:val="ConsPlusNormal"/>
              <w:jc w:val="center"/>
            </w:pPr>
            <w:r>
              <w:t>10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трех до пяти актов</w:t>
            </w:r>
          </w:p>
        </w:tc>
        <w:tc>
          <w:tcPr>
            <w:tcW w:w="1871" w:type="dxa"/>
          </w:tcPr>
          <w:p w:rsidR="00A63958" w:rsidRDefault="00A63958">
            <w:pPr>
              <w:pStyle w:val="ConsPlusNormal"/>
              <w:jc w:val="center"/>
            </w:pPr>
            <w:r>
              <w:t>15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Пять актов и более</w:t>
            </w:r>
          </w:p>
        </w:tc>
        <w:tc>
          <w:tcPr>
            <w:tcW w:w="1871" w:type="dxa"/>
          </w:tcPr>
          <w:p w:rsidR="00A63958" w:rsidRDefault="00A63958">
            <w:pPr>
              <w:pStyle w:val="ConsPlusNormal"/>
              <w:jc w:val="center"/>
            </w:pPr>
            <w:r>
              <w:t>20 баллов</w:t>
            </w:r>
          </w:p>
        </w:tc>
        <w:tc>
          <w:tcPr>
            <w:tcW w:w="1757" w:type="dxa"/>
            <w:vMerge/>
          </w:tcPr>
          <w:p w:rsidR="00A63958" w:rsidRDefault="00A63958"/>
        </w:tc>
      </w:tr>
      <w:tr w:rsidR="00A63958">
        <w:tc>
          <w:tcPr>
            <w:tcW w:w="534" w:type="dxa"/>
            <w:vMerge w:val="restart"/>
          </w:tcPr>
          <w:p w:rsidR="00A63958" w:rsidRDefault="00A63958">
            <w:pPr>
              <w:pStyle w:val="ConsPlusNormal"/>
              <w:jc w:val="center"/>
            </w:pPr>
            <w:r>
              <w:t>3.</w:t>
            </w:r>
          </w:p>
        </w:tc>
        <w:tc>
          <w:tcPr>
            <w:tcW w:w="5468" w:type="dxa"/>
          </w:tcPr>
          <w:p w:rsidR="00A63958" w:rsidRDefault="00A63958">
            <w:pPr>
              <w:pStyle w:val="ConsPlusNormal"/>
            </w:pPr>
            <w:r>
              <w:t xml:space="preserve">Наличие в штате участника закупки квалифицированных </w:t>
            </w:r>
            <w:r>
              <w:lastRenderedPageBreak/>
              <w:t>аудиторов.</w:t>
            </w:r>
          </w:p>
          <w:p w:rsidR="00A63958" w:rsidRDefault="00A63958">
            <w:pPr>
              <w:pStyle w:val="ConsPlusNormal"/>
            </w:pPr>
            <w:r>
              <w:t>Количество аттестованных аудиторов, являющихся работниками аудиторской компании (подтверждается копиями трудовых договоров, копиями квалификационных аттестатов, а также выпиской из саморегулируемой организации).</w:t>
            </w:r>
          </w:p>
          <w:p w:rsidR="00A63958" w:rsidRDefault="00A63958">
            <w:pPr>
              <w:pStyle w:val="ConsPlusNormal"/>
            </w:pPr>
            <w:r>
              <w:t>При наличии в штате аудиторской организации:</w:t>
            </w:r>
          </w:p>
        </w:tc>
        <w:tc>
          <w:tcPr>
            <w:tcW w:w="1871" w:type="dxa"/>
          </w:tcPr>
          <w:p w:rsidR="00A63958" w:rsidRDefault="00A63958">
            <w:pPr>
              <w:pStyle w:val="ConsPlusNormal"/>
              <w:jc w:val="center"/>
            </w:pPr>
            <w:r>
              <w:lastRenderedPageBreak/>
              <w:t>от 0 до 30 баллов</w:t>
            </w:r>
          </w:p>
        </w:tc>
        <w:tc>
          <w:tcPr>
            <w:tcW w:w="1757" w:type="dxa"/>
            <w:vMerge w:val="restart"/>
          </w:tcPr>
          <w:p w:rsidR="00A63958" w:rsidRDefault="00A63958">
            <w:pPr>
              <w:pStyle w:val="ConsPlusNormal"/>
              <w:jc w:val="center"/>
            </w:pPr>
            <w:r>
              <w:t>30 баллов</w:t>
            </w:r>
          </w:p>
        </w:tc>
      </w:tr>
      <w:tr w:rsidR="00A63958">
        <w:tc>
          <w:tcPr>
            <w:tcW w:w="534" w:type="dxa"/>
            <w:vMerge/>
          </w:tcPr>
          <w:p w:rsidR="00A63958" w:rsidRDefault="00A63958"/>
        </w:tc>
        <w:tc>
          <w:tcPr>
            <w:tcW w:w="5468" w:type="dxa"/>
          </w:tcPr>
          <w:p w:rsidR="00A63958" w:rsidRDefault="00A63958">
            <w:pPr>
              <w:pStyle w:val="ConsPlusNormal"/>
            </w:pPr>
            <w:r>
              <w:t>от 1 до 3 аттестованных аудиторов</w:t>
            </w:r>
          </w:p>
        </w:tc>
        <w:tc>
          <w:tcPr>
            <w:tcW w:w="1871" w:type="dxa"/>
          </w:tcPr>
          <w:p w:rsidR="00A63958" w:rsidRDefault="00A63958">
            <w:pPr>
              <w:pStyle w:val="ConsPlusNormal"/>
              <w:jc w:val="center"/>
            </w:pPr>
            <w:r>
              <w:t>10</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 xml:space="preserve">от 3 до 5 </w:t>
            </w:r>
            <w:proofErr w:type="gramStart"/>
            <w:r>
              <w:t>аттестованных</w:t>
            </w:r>
            <w:proofErr w:type="gramEnd"/>
            <w:r>
              <w:t xml:space="preserve"> аудитора</w:t>
            </w:r>
          </w:p>
        </w:tc>
        <w:tc>
          <w:tcPr>
            <w:tcW w:w="1871" w:type="dxa"/>
          </w:tcPr>
          <w:p w:rsidR="00A63958" w:rsidRDefault="00A63958">
            <w:pPr>
              <w:pStyle w:val="ConsPlusNormal"/>
              <w:jc w:val="center"/>
            </w:pPr>
            <w:r>
              <w:t>25</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 xml:space="preserve">от 5 и выше </w:t>
            </w:r>
            <w:proofErr w:type="gramStart"/>
            <w:r>
              <w:t>аттестованных</w:t>
            </w:r>
            <w:proofErr w:type="gramEnd"/>
            <w:r>
              <w:t xml:space="preserve"> аудитора</w:t>
            </w:r>
          </w:p>
        </w:tc>
        <w:tc>
          <w:tcPr>
            <w:tcW w:w="1871" w:type="dxa"/>
          </w:tcPr>
          <w:p w:rsidR="00A63958" w:rsidRDefault="00A63958">
            <w:pPr>
              <w:pStyle w:val="ConsPlusNormal"/>
              <w:jc w:val="center"/>
            </w:pPr>
            <w:r>
              <w:t>30</w:t>
            </w:r>
          </w:p>
        </w:tc>
        <w:tc>
          <w:tcPr>
            <w:tcW w:w="1757" w:type="dxa"/>
            <w:vMerge/>
          </w:tcPr>
          <w:p w:rsidR="00A63958" w:rsidRDefault="00A63958"/>
        </w:tc>
      </w:tr>
      <w:tr w:rsidR="00A63958">
        <w:tc>
          <w:tcPr>
            <w:tcW w:w="534" w:type="dxa"/>
            <w:vMerge w:val="restart"/>
          </w:tcPr>
          <w:p w:rsidR="00A63958" w:rsidRDefault="00A63958">
            <w:pPr>
              <w:pStyle w:val="ConsPlusNormal"/>
              <w:jc w:val="center"/>
            </w:pPr>
            <w:r>
              <w:t>4.</w:t>
            </w:r>
          </w:p>
        </w:tc>
        <w:tc>
          <w:tcPr>
            <w:tcW w:w="5468" w:type="dxa"/>
          </w:tcPr>
          <w:p w:rsidR="00A63958" w:rsidRDefault="00A63958">
            <w:pPr>
              <w:pStyle w:val="ConsPlusNormal"/>
            </w:pPr>
            <w:r>
              <w:t>Наличие системы внутреннего контроля с разработанным и утвержденным положением (подтверждается копией системы внутреннего контроля с разработанным и утвержденным положением)</w:t>
            </w:r>
          </w:p>
        </w:tc>
        <w:tc>
          <w:tcPr>
            <w:tcW w:w="1871" w:type="dxa"/>
          </w:tcPr>
          <w:p w:rsidR="00A63958" w:rsidRDefault="00A63958">
            <w:pPr>
              <w:pStyle w:val="ConsPlusNormal"/>
              <w:jc w:val="center"/>
            </w:pPr>
            <w:r>
              <w:t>от 0 до 10 баллов</w:t>
            </w:r>
          </w:p>
        </w:tc>
        <w:tc>
          <w:tcPr>
            <w:tcW w:w="1757" w:type="dxa"/>
            <w:vMerge w:val="restart"/>
          </w:tcPr>
          <w:p w:rsidR="00A63958" w:rsidRDefault="00A63958">
            <w:pPr>
              <w:pStyle w:val="ConsPlusNormal"/>
              <w:jc w:val="center"/>
            </w:pPr>
            <w:r>
              <w:t>10 баллов</w:t>
            </w:r>
          </w:p>
        </w:tc>
      </w:tr>
      <w:tr w:rsidR="00A63958">
        <w:tc>
          <w:tcPr>
            <w:tcW w:w="534" w:type="dxa"/>
            <w:vMerge/>
          </w:tcPr>
          <w:p w:rsidR="00A63958" w:rsidRDefault="00A63958"/>
        </w:tc>
        <w:tc>
          <w:tcPr>
            <w:tcW w:w="5468" w:type="dxa"/>
          </w:tcPr>
          <w:p w:rsidR="00A63958" w:rsidRDefault="00A63958">
            <w:pPr>
              <w:pStyle w:val="ConsPlusNormal"/>
            </w:pPr>
            <w:r>
              <w:t>Отсутствует</w:t>
            </w:r>
          </w:p>
        </w:tc>
        <w:tc>
          <w:tcPr>
            <w:tcW w:w="1871" w:type="dxa"/>
          </w:tcPr>
          <w:p w:rsidR="00A63958" w:rsidRDefault="00A63958">
            <w:pPr>
              <w:pStyle w:val="ConsPlusNormal"/>
              <w:jc w:val="center"/>
            </w:pPr>
            <w:r>
              <w:t>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В наличии</w:t>
            </w:r>
          </w:p>
        </w:tc>
        <w:tc>
          <w:tcPr>
            <w:tcW w:w="1871" w:type="dxa"/>
          </w:tcPr>
          <w:p w:rsidR="00A63958" w:rsidRDefault="00A63958">
            <w:pPr>
              <w:pStyle w:val="ConsPlusNormal"/>
              <w:jc w:val="center"/>
            </w:pPr>
            <w:r>
              <w:t>10 баллов</w:t>
            </w:r>
          </w:p>
        </w:tc>
        <w:tc>
          <w:tcPr>
            <w:tcW w:w="1757" w:type="dxa"/>
            <w:vMerge/>
          </w:tcPr>
          <w:p w:rsidR="00A63958" w:rsidRDefault="00A63958"/>
        </w:tc>
      </w:tr>
      <w:tr w:rsidR="00A63958">
        <w:tc>
          <w:tcPr>
            <w:tcW w:w="534" w:type="dxa"/>
            <w:vMerge w:val="restart"/>
          </w:tcPr>
          <w:p w:rsidR="00A63958" w:rsidRDefault="00A63958">
            <w:pPr>
              <w:pStyle w:val="ConsPlusNormal"/>
              <w:jc w:val="center"/>
            </w:pPr>
            <w:r>
              <w:t>5.</w:t>
            </w:r>
          </w:p>
        </w:tc>
        <w:tc>
          <w:tcPr>
            <w:tcW w:w="5468" w:type="dxa"/>
          </w:tcPr>
          <w:p w:rsidR="00A63958" w:rsidRDefault="00A63958">
            <w:pPr>
              <w:pStyle w:val="ConsPlusNormal"/>
            </w:pPr>
            <w:r>
              <w:t>Лимит страхования профессиональной ответственности аудиторской деятельности, в рублях (подтверждается копией соответствующего документа о страховании профессиональной ответственности аудиторской деятельности)</w:t>
            </w:r>
          </w:p>
        </w:tc>
        <w:tc>
          <w:tcPr>
            <w:tcW w:w="1871" w:type="dxa"/>
          </w:tcPr>
          <w:p w:rsidR="00A63958" w:rsidRDefault="00A63958">
            <w:pPr>
              <w:pStyle w:val="ConsPlusNormal"/>
              <w:jc w:val="center"/>
            </w:pPr>
            <w:r>
              <w:t>от 0 до 10 баллов</w:t>
            </w:r>
          </w:p>
        </w:tc>
        <w:tc>
          <w:tcPr>
            <w:tcW w:w="1757" w:type="dxa"/>
            <w:vMerge w:val="restart"/>
          </w:tcPr>
          <w:p w:rsidR="00A63958" w:rsidRDefault="00A63958">
            <w:pPr>
              <w:pStyle w:val="ConsPlusNormal"/>
              <w:jc w:val="center"/>
            </w:pPr>
            <w:r>
              <w:t>10 баллов</w:t>
            </w:r>
          </w:p>
        </w:tc>
      </w:tr>
      <w:tr w:rsidR="00A63958">
        <w:tc>
          <w:tcPr>
            <w:tcW w:w="534" w:type="dxa"/>
            <w:vMerge/>
          </w:tcPr>
          <w:p w:rsidR="00A63958" w:rsidRDefault="00A63958"/>
        </w:tc>
        <w:tc>
          <w:tcPr>
            <w:tcW w:w="5468" w:type="dxa"/>
          </w:tcPr>
          <w:p w:rsidR="00A63958" w:rsidRDefault="00A63958">
            <w:pPr>
              <w:pStyle w:val="ConsPlusNormal"/>
            </w:pPr>
            <w:r>
              <w:t>До трех миллионов</w:t>
            </w:r>
          </w:p>
        </w:tc>
        <w:tc>
          <w:tcPr>
            <w:tcW w:w="1871" w:type="dxa"/>
          </w:tcPr>
          <w:p w:rsidR="00A63958" w:rsidRDefault="00A63958">
            <w:pPr>
              <w:pStyle w:val="ConsPlusNormal"/>
              <w:jc w:val="center"/>
            </w:pPr>
            <w:r>
              <w:t>0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трех до пяти миллионов</w:t>
            </w:r>
          </w:p>
        </w:tc>
        <w:tc>
          <w:tcPr>
            <w:tcW w:w="1871" w:type="dxa"/>
          </w:tcPr>
          <w:p w:rsidR="00A63958" w:rsidRDefault="00A63958">
            <w:pPr>
              <w:pStyle w:val="ConsPlusNormal"/>
              <w:jc w:val="center"/>
            </w:pPr>
            <w:r>
              <w:t>4 балла</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пяти до десяти миллионов</w:t>
            </w:r>
          </w:p>
        </w:tc>
        <w:tc>
          <w:tcPr>
            <w:tcW w:w="1871" w:type="dxa"/>
          </w:tcPr>
          <w:p w:rsidR="00A63958" w:rsidRDefault="00A63958">
            <w:pPr>
              <w:pStyle w:val="ConsPlusNormal"/>
              <w:jc w:val="center"/>
            </w:pPr>
            <w:r>
              <w:t>6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От десяти до пятнадцати миллионов</w:t>
            </w:r>
          </w:p>
        </w:tc>
        <w:tc>
          <w:tcPr>
            <w:tcW w:w="1871" w:type="dxa"/>
          </w:tcPr>
          <w:p w:rsidR="00A63958" w:rsidRDefault="00A63958">
            <w:pPr>
              <w:pStyle w:val="ConsPlusNormal"/>
              <w:jc w:val="center"/>
            </w:pPr>
            <w:r>
              <w:t>8 баллов</w:t>
            </w:r>
          </w:p>
        </w:tc>
        <w:tc>
          <w:tcPr>
            <w:tcW w:w="1757" w:type="dxa"/>
            <w:vMerge/>
          </w:tcPr>
          <w:p w:rsidR="00A63958" w:rsidRDefault="00A63958"/>
        </w:tc>
      </w:tr>
      <w:tr w:rsidR="00A63958">
        <w:tc>
          <w:tcPr>
            <w:tcW w:w="534" w:type="dxa"/>
            <w:vMerge/>
          </w:tcPr>
          <w:p w:rsidR="00A63958" w:rsidRDefault="00A63958"/>
        </w:tc>
        <w:tc>
          <w:tcPr>
            <w:tcW w:w="5468" w:type="dxa"/>
          </w:tcPr>
          <w:p w:rsidR="00A63958" w:rsidRDefault="00A63958">
            <w:pPr>
              <w:pStyle w:val="ConsPlusNormal"/>
            </w:pPr>
            <w:r>
              <w:t>Пятнадцать миллионов и более</w:t>
            </w:r>
          </w:p>
        </w:tc>
        <w:tc>
          <w:tcPr>
            <w:tcW w:w="1871" w:type="dxa"/>
          </w:tcPr>
          <w:p w:rsidR="00A63958" w:rsidRDefault="00A63958">
            <w:pPr>
              <w:pStyle w:val="ConsPlusNormal"/>
              <w:jc w:val="center"/>
            </w:pPr>
            <w:r>
              <w:t>10 баллов</w:t>
            </w:r>
          </w:p>
        </w:tc>
        <w:tc>
          <w:tcPr>
            <w:tcW w:w="1757" w:type="dxa"/>
            <w:vMerge/>
          </w:tcPr>
          <w:p w:rsidR="00A63958" w:rsidRDefault="00A63958"/>
        </w:tc>
      </w:tr>
      <w:tr w:rsidR="00A63958">
        <w:tc>
          <w:tcPr>
            <w:tcW w:w="6002" w:type="dxa"/>
            <w:gridSpan w:val="2"/>
          </w:tcPr>
          <w:p w:rsidR="00A63958" w:rsidRDefault="00A63958">
            <w:pPr>
              <w:pStyle w:val="ConsPlusNormal"/>
            </w:pPr>
            <w:r>
              <w:t>Итого</w:t>
            </w:r>
          </w:p>
        </w:tc>
        <w:tc>
          <w:tcPr>
            <w:tcW w:w="1871" w:type="dxa"/>
          </w:tcPr>
          <w:p w:rsidR="00A63958" w:rsidRDefault="00A63958">
            <w:pPr>
              <w:pStyle w:val="ConsPlusNormal"/>
              <w:jc w:val="center"/>
            </w:pPr>
          </w:p>
        </w:tc>
        <w:tc>
          <w:tcPr>
            <w:tcW w:w="1757" w:type="dxa"/>
          </w:tcPr>
          <w:p w:rsidR="00A63958" w:rsidRDefault="00A63958">
            <w:pPr>
              <w:pStyle w:val="ConsPlusNormal"/>
              <w:jc w:val="center"/>
            </w:pPr>
            <w:r>
              <w:t>100 баллов</w:t>
            </w:r>
          </w:p>
        </w:tc>
      </w:tr>
    </w:tbl>
    <w:p w:rsidR="00A63958" w:rsidRDefault="00A63958">
      <w:pPr>
        <w:sectPr w:rsidR="00A63958">
          <w:pgSz w:w="16838" w:h="11905" w:orient="landscape"/>
          <w:pgMar w:top="1701" w:right="1134" w:bottom="850" w:left="1134" w:header="0" w:footer="0" w:gutter="0"/>
          <w:cols w:space="720"/>
        </w:sectPr>
      </w:pPr>
    </w:p>
    <w:p w:rsidR="00A63958" w:rsidRDefault="00A63958">
      <w:pPr>
        <w:pStyle w:val="ConsPlusNormal"/>
        <w:ind w:firstLine="540"/>
        <w:jc w:val="both"/>
      </w:pPr>
    </w:p>
    <w:p w:rsidR="00A63958" w:rsidRDefault="00A63958">
      <w:pPr>
        <w:pStyle w:val="ConsPlusNormal"/>
        <w:ind w:firstLine="540"/>
        <w:jc w:val="both"/>
      </w:pPr>
      <w:r>
        <w:t>Для получения оценки (значения в баллах) по критерию для каждой заявки вычисляется среднее арифметическое оценок в баллах, присвоенных всеми членами конкурсной комиссии по критерию.</w:t>
      </w:r>
    </w:p>
    <w:p w:rsidR="00A63958" w:rsidRDefault="00A63958">
      <w:pPr>
        <w:pStyle w:val="ConsPlusNormal"/>
        <w:spacing w:before="220"/>
        <w:ind w:firstLine="540"/>
        <w:jc w:val="both"/>
      </w:pPr>
      <w:r>
        <w:t>Для получения итогового рейтинга по заявке рейтинг, присуждаемый рассматриваемой заявке по критерию "Качество услуг и квалификация участника конкурса", умножается на соответствующую указанному критерию значимость.</w:t>
      </w:r>
    </w:p>
    <w:p w:rsidR="00A63958" w:rsidRDefault="00A63958">
      <w:pPr>
        <w:pStyle w:val="ConsPlusNormal"/>
        <w:spacing w:before="220"/>
        <w:ind w:firstLine="540"/>
        <w:jc w:val="both"/>
      </w:pPr>
      <w:r>
        <w:t>43.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63958" w:rsidRDefault="00A63958">
      <w:pPr>
        <w:pStyle w:val="ConsPlusNormal"/>
        <w:spacing w:before="220"/>
        <w:ind w:firstLine="540"/>
        <w:jc w:val="both"/>
      </w:pPr>
      <w:proofErr w:type="gramStart"/>
      <w:r>
        <w:t>- место, дата, время проведения рассмотрения такой заявки;</w:t>
      </w:r>
      <w:proofErr w:type="gramEnd"/>
    </w:p>
    <w:p w:rsidR="00A63958" w:rsidRDefault="00A63958">
      <w:pPr>
        <w:pStyle w:val="ConsPlusNormal"/>
        <w:spacing w:before="220"/>
        <w:ind w:firstLine="540"/>
        <w:jc w:val="both"/>
      </w:pPr>
      <w: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A63958" w:rsidRDefault="00A63958">
      <w:pPr>
        <w:pStyle w:val="ConsPlusNormal"/>
        <w:spacing w:before="220"/>
        <w:ind w:firstLine="540"/>
        <w:jc w:val="both"/>
      </w:pPr>
      <w:r>
        <w:t>- решение каждого члена комиссии о соответствии такой заявки требованиям настоящего Федерального закона и конкурсной документации.</w:t>
      </w:r>
    </w:p>
    <w:p w:rsidR="00A63958" w:rsidRDefault="00A63958">
      <w:pPr>
        <w:pStyle w:val="ConsPlusNormal"/>
        <w:spacing w:before="220"/>
        <w:ind w:firstLine="540"/>
        <w:jc w:val="both"/>
      </w:pPr>
      <w:r>
        <w:t xml:space="preserve">44. Протокол рассмотрения и оценки заявок </w:t>
      </w:r>
      <w:proofErr w:type="gramStart"/>
      <w:r>
        <w:t>составляется в трех экземплярах и подписывается</w:t>
      </w:r>
      <w:proofErr w:type="gramEnd"/>
      <w:r>
        <w:t xml:space="preserve"> всеми присутствующими членами конкурсной комиссии. </w:t>
      </w:r>
      <w:proofErr w:type="gramStart"/>
      <w:r>
        <w:t>Один экземпляр каждого из этих протоколов хранится у организатора конкурса, два других экземпляра в течение трех рабочих дней с даты подписания направляются победителю конкурса и в Фонд, а также подлежат размещению на официальном сайте министерства энергетики и жилищно-коммунального хозяйства Сахалинской области (http://gkh.admsakhalin.ru/) не позднее рабочего дня, следующего за датой подписания этого протокола.</w:t>
      </w:r>
      <w:proofErr w:type="gramEnd"/>
    </w:p>
    <w:p w:rsidR="00A63958" w:rsidRDefault="00A63958">
      <w:pPr>
        <w:pStyle w:val="ConsPlusNormal"/>
        <w:spacing w:before="220"/>
        <w:ind w:firstLine="540"/>
        <w:jc w:val="both"/>
      </w:pPr>
      <w:r>
        <w:t>Вместе с экземпляром протокола министерство энергетики и жилищно-коммунального хозяйства Сахалинской области направляет в Фонд принятое решение о проведен</w:t>
      </w:r>
      <w:proofErr w:type="gramStart"/>
      <w:r>
        <w:t>ии ау</w:t>
      </w:r>
      <w:proofErr w:type="gramEnd"/>
      <w:r>
        <w:t>дита годовой бухгалтерской (финансовой) отчетности, в котором указываются аудиторская организация (аудитор), отобранная на конкурсной основе, а также размер оплаты услуг аудиторской организации (аудитора). На основании протокола и решения о проведен</w:t>
      </w:r>
      <w:proofErr w:type="gramStart"/>
      <w:r>
        <w:t>ии ау</w:t>
      </w:r>
      <w:proofErr w:type="gramEnd"/>
      <w:r>
        <w:t>дита годовой бухгалтерской (финансовой) отчетности Фонд заключает договор о проведении аудита годовой бухгалтерской (финансовой) отчетности в течение трех рабочих дней с момента получения указанных документов.</w:t>
      </w:r>
    </w:p>
    <w:p w:rsidR="00A63958" w:rsidRDefault="00A63958">
      <w:pPr>
        <w:pStyle w:val="ConsPlusNormal"/>
        <w:spacing w:before="220"/>
        <w:ind w:firstLine="540"/>
        <w:jc w:val="both"/>
      </w:pPr>
      <w:r>
        <w:t xml:space="preserve">45. Договор, заключенный Фондом с аудиторской организацией (аудитором), отобранной по результатам проведения конкурса, представляется в министерство энергетики и жилищно-коммунального хозяйства Сахалинской области в течение 2 рабочих дней после подписания его сторонами. Министерство энергетики и жилищно-коммунального хозяйства Сахалинской области </w:t>
      </w:r>
      <w:proofErr w:type="gramStart"/>
      <w:r>
        <w:t>утверждает договор и направляет</w:t>
      </w:r>
      <w:proofErr w:type="gramEnd"/>
      <w:r>
        <w:t xml:space="preserve"> его в адрес Фонда в срок не позднее 2 рабочих дней со дня его представления.</w:t>
      </w:r>
    </w:p>
    <w:p w:rsidR="00A63958" w:rsidRDefault="00A63958">
      <w:pPr>
        <w:pStyle w:val="ConsPlusNormal"/>
        <w:spacing w:before="220"/>
        <w:ind w:firstLine="540"/>
        <w:jc w:val="both"/>
      </w:pPr>
      <w:r>
        <w:t>46. Конкурс, проведенный с нарушением установленного порядка, может быть признан судом недействительным по иску заинтересованного лица.</w:t>
      </w:r>
    </w:p>
    <w:p w:rsidR="00A63958" w:rsidRDefault="00A63958">
      <w:pPr>
        <w:pStyle w:val="ConsPlusNormal"/>
        <w:spacing w:before="220"/>
        <w:ind w:firstLine="540"/>
        <w:jc w:val="both"/>
      </w:pPr>
      <w:r>
        <w:t>47. Признание конкурса недействительным влечет недействительность договора, заключенного с лицом, признанным победителем конкурса.</w:t>
      </w:r>
    </w:p>
    <w:p w:rsidR="00A63958" w:rsidRDefault="00A63958">
      <w:pPr>
        <w:pStyle w:val="ConsPlusNormal"/>
        <w:spacing w:before="220"/>
        <w:ind w:firstLine="540"/>
        <w:jc w:val="both"/>
      </w:pPr>
      <w:r>
        <w:t>48. Организатор конкурса размещает извещение о проведении повторного конкурса в случаях, если:</w:t>
      </w:r>
    </w:p>
    <w:p w:rsidR="00A63958" w:rsidRDefault="00A63958">
      <w:pPr>
        <w:pStyle w:val="ConsPlusNormal"/>
        <w:spacing w:before="220"/>
        <w:ind w:firstLine="540"/>
        <w:jc w:val="both"/>
      </w:pPr>
      <w:r>
        <w:lastRenderedPageBreak/>
        <w:t>- по окончании срока подачи заявок на участие в конкурсе не подано ни одной такой заявки;</w:t>
      </w:r>
    </w:p>
    <w:p w:rsidR="00A63958" w:rsidRDefault="00A63958">
      <w:pPr>
        <w:pStyle w:val="ConsPlusNormal"/>
        <w:spacing w:before="220"/>
        <w:ind w:firstLine="540"/>
        <w:jc w:val="both"/>
      </w:pPr>
      <w:r>
        <w:t>- по результатам рассмотрения заявок на участие в конкурсе конкурсная комиссия отклонила все такие заявки;</w:t>
      </w:r>
    </w:p>
    <w:p w:rsidR="00A63958" w:rsidRDefault="00A63958">
      <w:pPr>
        <w:pStyle w:val="ConsPlusNormal"/>
        <w:spacing w:before="220"/>
        <w:ind w:firstLine="540"/>
        <w:jc w:val="both"/>
      </w:pPr>
      <w:r>
        <w:t xml:space="preserve">- при уклонении победителя конкурса от заключения договора и отказе от заключения договора участника конкурса, заявке на </w:t>
      </w:r>
      <w:proofErr w:type="gramStart"/>
      <w:r>
        <w:t>участие</w:t>
      </w:r>
      <w:proofErr w:type="gramEnd"/>
      <w:r>
        <w:t xml:space="preserve"> в конкурсе которого присвоен второй номер и последующие номера.</w:t>
      </w:r>
    </w:p>
    <w:p w:rsidR="00A63958" w:rsidRDefault="00A63958">
      <w:pPr>
        <w:pStyle w:val="ConsPlusNormal"/>
        <w:spacing w:before="220"/>
        <w:ind w:firstLine="540"/>
        <w:jc w:val="both"/>
      </w:pPr>
      <w:r>
        <w:t xml:space="preserve">49. </w:t>
      </w:r>
      <w:proofErr w:type="gramStart"/>
      <w:r>
        <w:t>Годовой отчет регионального оператора утверждается Правлением Фонда с учетом аудиторского заключения в срок не позднее 1 июня года, следующего за отчетным, и направляется вместе с аудиторским заключением в течение пяти дней после утверждения в Сахалинскую областную Думу, Правительство Сахалинской области, Общественную палату Сахалинской области.</w:t>
      </w:r>
      <w:proofErr w:type="gramEnd"/>
    </w:p>
    <w:p w:rsidR="00A63958" w:rsidRDefault="00A63958">
      <w:pPr>
        <w:pStyle w:val="ConsPlusNormal"/>
        <w:spacing w:before="220"/>
        <w:ind w:firstLine="540"/>
        <w:jc w:val="both"/>
      </w:pPr>
      <w:r>
        <w:t>50. Годовой отчет регионального оператора и аудиторское заключение подлежит размещению на официальном сайте Фонда (http://www.fkr65.ru/)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не позднее чем через десять дней со дня его утверждения.</w:t>
      </w:r>
    </w:p>
    <w:p w:rsidR="00A63958" w:rsidRDefault="00A63958">
      <w:pPr>
        <w:pStyle w:val="ConsPlusNormal"/>
        <w:ind w:firstLine="540"/>
        <w:jc w:val="both"/>
      </w:pPr>
    </w:p>
    <w:p w:rsidR="00A63958" w:rsidRDefault="00A63958">
      <w:pPr>
        <w:pStyle w:val="ConsPlusNormal"/>
        <w:ind w:firstLine="540"/>
        <w:jc w:val="both"/>
      </w:pPr>
    </w:p>
    <w:p w:rsidR="00A63958" w:rsidRDefault="00A63958">
      <w:pPr>
        <w:pStyle w:val="ConsPlusNormal"/>
        <w:pBdr>
          <w:top w:val="single" w:sz="6" w:space="0" w:color="auto"/>
        </w:pBdr>
        <w:spacing w:before="100" w:after="100"/>
        <w:jc w:val="both"/>
        <w:rPr>
          <w:sz w:val="2"/>
          <w:szCs w:val="2"/>
        </w:rPr>
      </w:pPr>
    </w:p>
    <w:p w:rsidR="002F2879" w:rsidRDefault="002F2879"/>
    <w:sectPr w:rsidR="002F2879" w:rsidSect="003B25F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63958"/>
    <w:rsid w:val="002F2879"/>
    <w:rsid w:val="0060774C"/>
    <w:rsid w:val="007B6891"/>
    <w:rsid w:val="00A63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8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39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39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39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8C92718DD827576A0EBA819AFA9CDBD8E1D620131F48DBF5C50248B31C210DFE375775DF2g7A" TargetMode="External"/><Relationship Id="rId13" Type="http://schemas.openxmlformats.org/officeDocument/2006/relationships/hyperlink" Target="consultantplus://offline/ref=B8F8C92718DD827576A0EBA819AFA9CDBD8E1D60013AF48DBF5C50248BF3g1A" TargetMode="External"/><Relationship Id="rId3" Type="http://schemas.openxmlformats.org/officeDocument/2006/relationships/webSettings" Target="webSettings.xml"/><Relationship Id="rId7" Type="http://schemas.openxmlformats.org/officeDocument/2006/relationships/hyperlink" Target="consultantplus://offline/ref=B8F8C92718DD827576A0F5A50FC3F5C1BF8D446D0F37FBD9EB030B79DC38C84798AC2C37112DA43C4F94BBF7gDA" TargetMode="External"/><Relationship Id="rId12" Type="http://schemas.openxmlformats.org/officeDocument/2006/relationships/hyperlink" Target="consultantplus://offline/ref=B8F8C92718DD827576A0EBA819AFA9CDBD8E1C690F30F48DBF5C50248B31C210DFE375755520A43CF4g6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8F8C92718DD827576A0EBA819AFA9CDBD8E1D620131F48DBF5C50248B31C210DFE375775DF2g9A" TargetMode="External"/><Relationship Id="rId11" Type="http://schemas.openxmlformats.org/officeDocument/2006/relationships/hyperlink" Target="consultantplus://offline/ref=B8F8C92718DD827576A0EBA819AFA9CDBD8E1C690F30F48DBF5C50248BF3g1A" TargetMode="External"/><Relationship Id="rId5" Type="http://schemas.openxmlformats.org/officeDocument/2006/relationships/hyperlink" Target="consultantplus://offline/ref=B8F8C92718DD827576A0EBA819AFA9CDBD8E1D620131F48DBF5C50248B31C210DFE375775DF2g7A" TargetMode="External"/><Relationship Id="rId15" Type="http://schemas.openxmlformats.org/officeDocument/2006/relationships/hyperlink" Target="consultantplus://offline/ref=B8F8C92718DD827576A0EBA819AFA9CDBD8E1C690F30F48DBF5C50248B31C210DFE375755520A43EF4gBA" TargetMode="External"/><Relationship Id="rId10" Type="http://schemas.openxmlformats.org/officeDocument/2006/relationships/hyperlink" Target="consultantplus://offline/ref=B8F8C92718DD827576A0F5A50FC3F5C1BF8D446D0F37FBD9EB030B79DC38C84798AC2C37112DA43C4F94BBF7gD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F8C92718DD827576A0EBA819AFA9CDBD8E1D620131F48DBF5C50248B31C210DFE375775DF2g9A" TargetMode="External"/><Relationship Id="rId14" Type="http://schemas.openxmlformats.org/officeDocument/2006/relationships/hyperlink" Target="consultantplus://offline/ref=B8F8C92718DD827576A0EBA819AFA9CDBD8E1D62013AF48DBF5C50248BF3g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5630</Words>
  <Characters>32093</Characters>
  <Application>Microsoft Office Word</Application>
  <DocSecurity>0</DocSecurity>
  <Lines>267</Lines>
  <Paragraphs>75</Paragraphs>
  <ScaleCrop>false</ScaleCrop>
  <Company>Reanimator Extreme Edition</Company>
  <LinksUpToDate>false</LinksUpToDate>
  <CharactersWithSpaces>37648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m.dmitrieva</dc:creator>
  <cp:lastModifiedBy>m.dmitrieva</cp:lastModifiedBy>
  <cp:revision>1</cp:revision>
  <dcterms:created xsi:type="dcterms:W3CDTF">2018-01-18T00:32:00Z</dcterms:created>
  <dcterms:modified xsi:type="dcterms:W3CDTF">2018-01-18T00:32:00Z</dcterms:modified>
</cp:coreProperties>
</file>